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96" w:rsidRDefault="006A5C26" w:rsidP="006A5C26">
      <w:pPr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A5C2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 особенностях применения патентной системы налогообложения в 2021 году</w:t>
      </w:r>
    </w:p>
    <w:p w:rsidR="006A5C26" w:rsidRPr="006A5C26" w:rsidRDefault="006A5C26" w:rsidP="006A5C26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система налогообложения (далее – ПСН) в Смоленской области установлена областным законом от 19.11.2012 № 90-з «О введении в действие патентной системы налогообложения и применении ее индивидуальными предпринимателями на территории Смоленской области» с 1 января 2013 года.</w:t>
      </w:r>
    </w:p>
    <w:p w:rsidR="006A5C26" w:rsidRPr="006A5C26" w:rsidRDefault="006A5C26" w:rsidP="006A5C26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ПСН применяется исключительно индивидуальными предпринимателями (далее – ИП). При этом переход на патент является добровольным.</w:t>
      </w:r>
      <w:r w:rsidRPr="006A5C26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данным режимом налогообложения могут как резиденты, так и нерезиденты Российской Федерации.</w:t>
      </w:r>
    </w:p>
    <w:p w:rsidR="006A5C26" w:rsidRPr="006A5C26" w:rsidRDefault="006A5C26" w:rsidP="006A5C26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поправками, внесенными в Главу 26.5 «Патентная система налогообложения» Налогового кодекса Российской Федерации (далее – НК РФ) с</w:t>
      </w: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января 2021 года изменились условия применения ПСН.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перечень видов экономической деятельности на патенте приведен в пункте 2 статьи </w:t>
      </w:r>
      <w:hyperlink r:id="rId4" w:tgtFrame="_blank" w:tooltip="Перейти к статье 346.43 Налогового кодекса РФ в актуальной редакции" w:history="1">
        <w:r w:rsidRPr="006A5C2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346.43</w:t>
        </w:r>
      </w:hyperlink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 РФ.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этот перечень расширен теми видами экономической деятельности, которые применялись в рамках системы налогообложения в виде единого налога на вмененный доход (далее – ЕНВД): услуги автостоянки, ремонт, техническое обслуживание и мойка автотранспортных средств; увеличена площадь помещения для розничной торговли и услуг общепита до 150 кв. метров. 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уточнены названия отдельных видов деятельности.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получение патента может быть актуально для ИП, ранее применявших ЕНВД.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2021 года ИП смогут вычитать из стоимости патента оплаченные обязательные страховые взносы за работников и за себя, оплату больничных, а также платежи по договорам страхования работников (п. 1.2 ст. 346.51 НК РФ в редакции закона № 373-ФЗ):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ИП без наемных работников можно уменьшить сумму патента до 100% уплаченных взносов за себя;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ИП с работниками - не более 50% уплаченных взносов за себя и работников.</w:t>
      </w:r>
    </w:p>
    <w:p w:rsidR="006A5C26" w:rsidRPr="006A5C26" w:rsidRDefault="006A5C26" w:rsidP="006A5C2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уменьшения стоимости патента на сумму страховых взносов необходимо заявить в налоговую инспекцию о налоговых вычетах. ФНС России утвердила рекомендованную форму уведомления и порядок его подачи в соответствующем письме от 26.01.2021 № СД-4-3/785. </w:t>
      </w:r>
    </w:p>
    <w:p w:rsidR="006A5C26" w:rsidRPr="006A5C26" w:rsidRDefault="006A5C26" w:rsidP="006A5C2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 </w:t>
      </w:r>
      <w:proofErr w:type="gramStart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ПСН  вправе</w:t>
      </w:r>
      <w:proofErr w:type="gramEnd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предприниматели, чей годовой доход не превышает 60 млн. рублей, также установлено минимальное количество нанятых работников – не более 15 человек.</w:t>
      </w:r>
    </w:p>
    <w:p w:rsidR="006A5C26" w:rsidRPr="006A5C26" w:rsidRDefault="006A5C26" w:rsidP="006A5C26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действия патента - 12 месяцев, минимальный - один месяц. Это удобно сезонникам, чья деятельность в течение года длится несколько месяцев. Также неплохо использовать минимальный срок действия патента в качестве пробного периода: сомневающийся в целесообразности применения ПСН предприниматель оплачивает небольшой период и за этот срок проверяет, подходит ли данная система налогообложения для его бизнеса.</w:t>
      </w:r>
    </w:p>
    <w:p w:rsidR="006A5C26" w:rsidRPr="006A5C26" w:rsidRDefault="006A5C26" w:rsidP="006A5C26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2021 году налоговым периодом применения патента является </w:t>
      </w: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календарный месяц, а не год, как было ранее. Это правило введено в первую очередь для тех ИП, которые будут переходить на патент с ЕНВД. Эти предприниматели не привыкли к ограничениям, установленным для ПСН, и могут нарушить, например, лимит по выручке, в середине или в конце года. По действующим в 2020 году правилам такому ИП пришлось бы заплатить налоги, исходя из упрощенной системы налогообложения (далее – УСН) или общей системы налогообложений, с начала года. А в 2021 году он начнет применять новый режим с начала того месяца, когда лимит был превышен (п. 6 ст. 346.45 НК РФ).</w:t>
      </w:r>
    </w:p>
    <w:p w:rsidR="006A5C26" w:rsidRPr="006A5C26" w:rsidRDefault="006A5C26" w:rsidP="006A5C26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Привлекательность патента в сравнении с другими льготными </w:t>
      </w:r>
      <w:proofErr w:type="spellStart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спецрежимами</w:t>
      </w:r>
      <w:proofErr w:type="spellEnd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состоит в том, что на патенте не нужно представлять налоговую декларацию по налогу.</w:t>
      </w:r>
    </w:p>
    <w:p w:rsidR="006A5C26" w:rsidRPr="006A5C26" w:rsidRDefault="006A5C26" w:rsidP="006A5C26">
      <w:pPr>
        <w:shd w:val="clear" w:color="auto" w:fill="FFFFFF"/>
        <w:spacing w:after="0" w:line="240" w:lineRule="auto"/>
        <w:ind w:left="-85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патент, бизнесмен автоматически освобождается от уплаты НДС, </w:t>
      </w:r>
      <w:hyperlink r:id="rId5" w:tgtFrame="_blank" w:history="1">
        <w:r w:rsidRPr="006A5C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НДФЛ</w:t>
        </w:r>
      </w:hyperlink>
      <w:r w:rsidRPr="006A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налога на имущество (за исключением, объектов недвижимого имущества, в отношении которых налоговая база определяется как кадастровая стоимость). </w:t>
      </w:r>
    </w:p>
    <w:p w:rsidR="006A5C26" w:rsidRPr="006A5C26" w:rsidRDefault="006A5C26" w:rsidP="006A5C26">
      <w:pPr>
        <w:shd w:val="clear" w:color="auto" w:fill="FFFFFF"/>
        <w:spacing w:after="0" w:line="240" w:lineRule="auto"/>
        <w:ind w:left="-85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стоимость патента никак не привязана к фактической выручке, от предпринимателя на патенте требуется фиксация доходов в </w:t>
      </w:r>
      <w:hyperlink r:id="rId6" w:tgtFrame="_blank" w:tooltip="Перейти к форме книги учета доходов ИП на патенте" w:history="1">
        <w:r w:rsidRPr="006A5C2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5FFFA"/>
            <w:lang w:eastAsia="ru-RU"/>
          </w:rPr>
          <w:t>специальной</w:t>
        </w:r>
      </w:hyperlink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 учета доходов ИП, применяющего ПСН</w:t>
      </w: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C26" w:rsidRPr="006A5C26" w:rsidRDefault="006A5C26" w:rsidP="006A5C26">
      <w:pPr>
        <w:shd w:val="clear" w:color="auto" w:fill="FFFFFF"/>
        <w:spacing w:after="0" w:line="240" w:lineRule="auto"/>
        <w:ind w:left="-85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этой книги состоит в том, чтобы отследить не сами доходы как таковые - они ни на что не влияют в фискальном плане, а в том, чтобы эти доходы не превышали предельную сумму доходов, ограничивающую применение патента (60 млн. рублей в год).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книга может оказаться очень полезной в случае, если предпринимателю нужно обратиться за заемными средствами в кредитные учреждения. Тогда книга доходов ИП может стать одним из источников подтверждения имеющихся у ИП доходов, а записи в ней, достоверность которых, к слову, проверить весьма и весьма затруднительно, могут тоже иметь значение для положительного решения по кредиту.</w:t>
      </w:r>
    </w:p>
    <w:p w:rsidR="006A5C26" w:rsidRPr="006A5C26" w:rsidRDefault="006A5C26" w:rsidP="006A5C26">
      <w:pPr>
        <w:shd w:val="clear" w:color="auto" w:fill="FFFFFF"/>
        <w:spacing w:after="0" w:line="240" w:lineRule="auto"/>
        <w:ind w:left="-85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планирующие переход на ПСН, покупают патент в налоговой инспекции по месту проживания, а не по месту регистрации. Это удобно для тех, кто прописан в одном регионе, но проживает и ведет бизнес в другом.</w:t>
      </w:r>
    </w:p>
    <w:p w:rsidR="006A5C26" w:rsidRPr="006A5C26" w:rsidRDefault="006A5C26" w:rsidP="006A5C26">
      <w:pPr>
        <w:shd w:val="clear" w:color="auto" w:fill="FFFFFF"/>
        <w:spacing w:after="0" w:line="240" w:lineRule="auto"/>
        <w:ind w:left="-85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патент можно самостоятельно. Привлекательна ставка налога, установленная по всей стране на едином уровне – 6% </w:t>
      </w:r>
      <w:r w:rsidRPr="006A5C26">
        <w:rPr>
          <w:rFonts w:ascii="Times New Roman" w:eastAsia="Calibri" w:hAnsi="Times New Roman" w:cs="Times New Roman"/>
          <w:sz w:val="28"/>
          <w:szCs w:val="28"/>
        </w:rPr>
        <w:t>от установленного размера потенциального возможного к получению годового дохода.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выгодно получение патента, можно узнать, если сравнить значение показателя произведения фактической выручки за ближайший предшествующий месяц и налоговой ставки 6% с данными </w:t>
      </w:r>
      <w:hyperlink r:id="rId7" w:tgtFrame="_blank" w:tooltip="Перейти к налоговому калькулятору расчета стоимости патента на сайте ФНС России" w:history="1">
        <w:r w:rsidRPr="006A5C2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5FFFA"/>
            <w:lang w:eastAsia="ru-RU"/>
          </w:rPr>
          <w:t>налогового калькулятора</w:t>
        </w:r>
      </w:hyperlink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стоимости патента на планируемый месяц.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6% налог от известной фактической выручки за месяц больше, чем месячная стоимость патента, то тогда выгоднее получение патента. И наоборот.</w:t>
      </w:r>
    </w:p>
    <w:p w:rsidR="006A5C26" w:rsidRPr="006A5C26" w:rsidRDefault="006A5C26" w:rsidP="006A5C26">
      <w:pPr>
        <w:shd w:val="clear" w:color="auto" w:fill="FFFFFF"/>
        <w:spacing w:after="0" w:line="240" w:lineRule="auto"/>
        <w:ind w:left="-85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ПСН не отменяет возможности использования предпринимателями параллельно с ней других систем.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Следует отметить, если налогоплательщик применяет одновременно УСН и ПСН, то при определении величины доходов, учитываются доходы по обоим указанным специальным налоговым режимам.</w:t>
      </w:r>
    </w:p>
    <w:p w:rsidR="006A5C26" w:rsidRPr="006A5C26" w:rsidRDefault="006A5C26" w:rsidP="006A5C2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большинству видов деятельности на патенте не нужно применять онлайновые кассы для расчетов с покупателями-физлицами, но сам по себе </w:t>
      </w:r>
      <w:r w:rsidRPr="006A5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патент не освобождает полностью</w:t>
      </w: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применения онлайн-касс. Так, например, при осуществлении розничной торговли, услуг общепита применение онлайновых касс сейчас обязательно для всех, в том числе для ИП на патенте.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на патенте, осуществляющие виды деятельности, установленные подпунктами 1, 2, 4, 5, 7, 8, 12 - 17, 19 - 27, 29 - 31, 34 - 36, 39, 41 - 44, 49 - 52, 54, 55, 57 - 62, 64, 66 - 80 пункта 2 статьи </w:t>
      </w:r>
      <w:hyperlink r:id="rId8" w:tgtFrame="_blank" w:tooltip="Перейти к статье 346.43 Налогового кодекса РФ в актуальной редакции" w:history="1">
        <w:r w:rsidRPr="006A5C2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346.43</w:t>
        </w:r>
      </w:hyperlink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Налогового кодекса РФ, могут осуществлять расчеты без применения контрольно-кассовой техники при условии выдачи или направления по </w:t>
      </w:r>
      <w:proofErr w:type="spellStart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(заказчику) документа, подтверждающего факт осуществления расчета между ИП и покупателем (заказчиком), содержащего наименование документа, его порядковый номер, а также реквизиты, установленные статьей </w:t>
      </w:r>
      <w:hyperlink r:id="rId9" w:tgtFrame="_blank" w:tooltip="Перейти к статье 4.7 54-ФЗ от 22.05.2003 года в актуальной редакции" w:history="1">
        <w:r w:rsidRPr="006A5C2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4.7</w:t>
        </w:r>
      </w:hyperlink>
      <w:r w:rsidRPr="006A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54-ФЗ от 22.05.2003 года «О применении контрольно-кассовой техники при осуществлении расчетов в Российской Федерации».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список видов предпринимательской деятельности на патенте допускает неприменение онлайновых касс при расчетах с населением: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ремонт, чистка, окраска и пошив обуви;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стирка, химическая чистка и крашение текстильных и меховых изделий;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изготовление и ремонт металлической галантереи, ключей, номерных знаков, указателей улиц;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мебели и предметов домашнего обихода;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услуги в области фотографии;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реконструкция или ремонт существующих жилых и нежилых зданий, а также спортивных сооружений;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услуги по производству монтажных, электромонтажных, санитарно-технических и сварочных работ;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услуги по остеклению балконов и лоджий, нарезке стекла и зеркал, художественной обработке стекла;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услуги в сфере дошкольного образования и дополнительного образования детей и взрослых;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услуги по присмотру и уходу за детьми и больными;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сбор тары и пригодных для вторичного использования материалов;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изготовление изделий народных художественных промыслов;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производство и реставрация ковров и ковровых изделий;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ремонт ювелирных изделий, бижутерии;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18) чеканка и гравировка ювелирных изделий;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19) деятельность в области звукозаписи и издания музыкальных произведений;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услуги по уборке квартир и частных домов, деятельность домашних хозяйств с наемными работниками;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деятельность, специализированная в области дизайна, услуги художественного оформления;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услуги носильщиков на железнодорожных вокзалах, автовокзалах, аэровокзалах, в аэропортах, морских, речных портах;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услуги платных туалетов;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24) услуги по приготовлению и поставке блюд для торжественных мероприятий или иных событий;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25)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26)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27) деятельность по благоустройству ландшафта;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осуществление частной детективной деятельности лицом, имеющим лицензию;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29) услуги экскурсионные туристические;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организация обрядов (свадеб, юбилеев), в том числе музыкальное сопровождение;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организация похорон и предоставление связанных с ними услуг;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32) услуги уличных патрулей, охранников, сторожей и вахтеров;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услуг по забою и транспортировке скота;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производство кожи и изделий из кожи;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сбор и заготовка пищевых лесных ресурсов, </w:t>
      </w:r>
      <w:proofErr w:type="spellStart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36) переработка и консервирование фруктов и овощей;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37) производство хлебобулочных и мучных кондитерских изделий;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57) лесоводство и прочая лесохозяйственная деятельность;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58) деятельность по письменному и устному переводу;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59) деятельность по уходу за престарелыми и инвалидами;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сбор, обработка и утилизация отходов, а также обработка вторичного сырья;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61) резка, обработка и отделка камня для памятников;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-страниц, включая их адаптацию и модификацию;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64) животноводство, услуги в области животноводства;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66) помол зерна, производство муки и крупы из зерен пшеницы, ржи, овса, кукурузы или прочих хлебных злаков;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67) услуги по уходу за домашними животными;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68) изготовление и ремонт бондарной посуды и гончарных изделий по индивидуальному заказу населения;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69) услуги по изготовлению валяной обуви;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71) 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72) изготовление и ремонт деревянных лодок по индивидуальному заказу населения;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73) ремонт игрушек и подобных им изделий;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74) ремонт спортивного и туристического оборудования;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75) услуги по вспашке огородов по индивидуальному заказу населения;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76) услуги по распиловке дров по индивидуальному заказу населения;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77) сборка и ремонт очков;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78) изготовление и печатание визитных карточек и пригласительных билетов на семейные торжества;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79) переплетные, брошюровочные, окантовочные, картонажные работы;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80) услуги по ремонту сифонов и </w:t>
      </w:r>
      <w:proofErr w:type="spellStart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автосифонов</w:t>
      </w:r>
      <w:proofErr w:type="spellEnd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зарядка газовых баллончиков для сифонов.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  <w:u w:val="single"/>
        </w:rPr>
        <w:t>ПСН не применяется в отношении: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- видов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- деятельности по производству подакцизных товаров, а также по добыче и реализации полезных ископаемых;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- розничной торговли, осуществляемой через объекты стационарной торговой сети с площадью торгового зала более 150 квадратных метров;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- услуг общественного питания, оказываемых через объекты организации общественного питания с площадью зала обслуживания посетителей более 150 квадратных метров;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- оптовой торговли, а также торговли, осуществляемой по договорам поставки;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- услуг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:rsidR="006A5C26" w:rsidRPr="006A5C26" w:rsidRDefault="006A5C26" w:rsidP="006A5C2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5C26">
        <w:rPr>
          <w:rFonts w:ascii="Times New Roman" w:eastAsia="Calibri" w:hAnsi="Times New Roman" w:cs="Times New Roman"/>
          <w:sz w:val="28"/>
          <w:szCs w:val="28"/>
        </w:rPr>
        <w:t>-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</w:t>
      </w:r>
    </w:p>
    <w:p w:rsidR="006A5C26" w:rsidRPr="006A5C26" w:rsidRDefault="006A5C26" w:rsidP="006A5C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по-прежнему нельзя будет продавать на ПСН отдельные виды товаров, подлежащих обязательной </w:t>
      </w:r>
      <w:hyperlink r:id="rId10" w:history="1">
        <w:r w:rsidRPr="006A5C2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маркировке</w:t>
        </w:r>
      </w:hyperlink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3 ст. 346.43 НК РФ):</w:t>
      </w:r>
    </w:p>
    <w:p w:rsidR="006A5C26" w:rsidRPr="006A5C26" w:rsidRDefault="006A5C26" w:rsidP="006A5C2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лекарства;</w:t>
      </w:r>
    </w:p>
    <w:p w:rsidR="006A5C26" w:rsidRPr="006A5C26" w:rsidRDefault="006A5C26" w:rsidP="006A5C2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обувь;</w:t>
      </w:r>
    </w:p>
    <w:p w:rsidR="006A5C26" w:rsidRPr="006A5C26" w:rsidRDefault="006A5C26" w:rsidP="006A5C2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меховую одежду, принадлежности к ней и прочие изделия из натурального меха.</w:t>
      </w:r>
    </w:p>
    <w:p w:rsidR="006A5C26" w:rsidRPr="006A5C26" w:rsidRDefault="006A5C26" w:rsidP="006A5C26">
      <w:pPr>
        <w:spacing w:before="375" w:after="375" w:line="240" w:lineRule="auto"/>
        <w:ind w:left="-851"/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</w:pPr>
      <w:r w:rsidRPr="006A5C26"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  <w:t> </w:t>
      </w:r>
      <w:bookmarkStart w:id="0" w:name="_GoBack"/>
      <w:bookmarkEnd w:id="0"/>
    </w:p>
    <w:sectPr w:rsidR="006A5C26" w:rsidRPr="006A5C26" w:rsidSect="006A5C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8"/>
    <w:rsid w:val="00150496"/>
    <w:rsid w:val="006A5C26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4A15-99AA-4851-982B-DC20EB1F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n-buh.ru/page.php?id=ecd0814c1bc299ee597991eca6b62d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rn-buh.ru/page.php?id=2e31f2ec38b208d6870ed89a9c6c3f4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rn-buh.ru/page.php?id=fd2f8ee7e2096f38a573e0d23a58f7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021god.ru/ekonomika/ndfl-v-2021-godu" TargetMode="External"/><Relationship Id="rId10" Type="http://schemas.openxmlformats.org/officeDocument/2006/relationships/hyperlink" Target="https://uchet.pro/markirovka/" TargetMode="External"/><Relationship Id="rId4" Type="http://schemas.openxmlformats.org/officeDocument/2006/relationships/hyperlink" Target="https://vrn-buh.ru/page.php?id=ecd0814c1bc299ee597991eca6b62db3" TargetMode="External"/><Relationship Id="rId9" Type="http://schemas.openxmlformats.org/officeDocument/2006/relationships/hyperlink" Target="https://vrn-buh.ru/page.php?id=ae266442fa751101aefa3fd2692dd4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2</cp:revision>
  <dcterms:created xsi:type="dcterms:W3CDTF">2021-03-04T06:34:00Z</dcterms:created>
  <dcterms:modified xsi:type="dcterms:W3CDTF">2021-03-04T06:42:00Z</dcterms:modified>
</cp:coreProperties>
</file>