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2B" w:rsidRPr="007B452B" w:rsidRDefault="007B452B" w:rsidP="007B452B">
      <w:pPr>
        <w:rPr>
          <w:b/>
        </w:rPr>
      </w:pPr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 xml:space="preserve">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  <w:bookmarkStart w:id="0" w:name="_GoBack"/>
      <w:bookmarkEnd w:id="0"/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>По какому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Микро-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млн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>•  В течение первых 6 месяцев отсутствуют выплаты по основному долгу и процентам.</w:t>
      </w:r>
    </w:p>
    <w:p w:rsidR="007B452B" w:rsidRDefault="007B452B" w:rsidP="007B452B">
      <w:r>
        <w:t>•  В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>•  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lastRenderedPageBreak/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proofErr w:type="gramStart"/>
      <w:r w:rsidRPr="007B452B">
        <w:rPr>
          <w:u w:val="single"/>
        </w:rPr>
        <w:t>для</w:t>
      </w:r>
      <w:proofErr w:type="gramEnd"/>
      <w:r w:rsidRPr="007B452B">
        <w:rPr>
          <w:u w:val="single"/>
        </w:rPr>
        <w:t xml:space="preserve"> заключения соглашений о предоставлении субсидии из федерального      бюджета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9. 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CC" w:rsidRDefault="00AF3CCC" w:rsidP="007B452B">
      <w:r>
        <w:separator/>
      </w:r>
    </w:p>
  </w:endnote>
  <w:endnote w:type="continuationSeparator" w:id="0">
    <w:p w:rsidR="00AF3CCC" w:rsidRDefault="00AF3CCC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CC" w:rsidRDefault="00AF3CCC" w:rsidP="007B452B">
      <w:r>
        <w:separator/>
      </w:r>
    </w:p>
  </w:footnote>
  <w:footnote w:type="continuationSeparator" w:id="0">
    <w:p w:rsidR="00AF3CCC" w:rsidRDefault="00AF3CCC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2B" w:rsidRPr="007B452B" w:rsidRDefault="007B452B" w:rsidP="00B67D6E">
    <w:pPr>
      <w:pStyle w:val="a3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2B1B27"/>
    <w:rsid w:val="005B150C"/>
    <w:rsid w:val="006B4D58"/>
    <w:rsid w:val="007B452B"/>
    <w:rsid w:val="00AF3CCC"/>
    <w:rsid w:val="00B67D6E"/>
    <w:rsid w:val="00BD7494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4CCF-4F79-48CC-9CA3-5ECB369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ТурикИ</cp:lastModifiedBy>
  <cp:revision>3</cp:revision>
  <dcterms:created xsi:type="dcterms:W3CDTF">2021-04-01T11:15:00Z</dcterms:created>
  <dcterms:modified xsi:type="dcterms:W3CDTF">2021-04-06T05:17:00Z</dcterms:modified>
</cp:coreProperties>
</file>