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BB" w:rsidRPr="00BC2186" w:rsidRDefault="009540BB" w:rsidP="009540BB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9540BB" w:rsidRPr="00BC2186" w:rsidRDefault="009540BB" w:rsidP="009540B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540BB" w:rsidRPr="00BC2186" w:rsidTr="00AF176C">
        <w:trPr>
          <w:trHeight w:val="1183"/>
        </w:trPr>
        <w:tc>
          <w:tcPr>
            <w:tcW w:w="10490" w:type="dxa"/>
          </w:tcPr>
          <w:p w:rsidR="009540BB" w:rsidRPr="00BC2186" w:rsidRDefault="009540BB" w:rsidP="00AF17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9540BB" w:rsidRPr="00BC2186" w:rsidRDefault="009540BB" w:rsidP="00AF176C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2017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9540BB" w:rsidRPr="00BC2186" w:rsidRDefault="009540BB" w:rsidP="00AF176C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9540BB" w:rsidRDefault="009540BB" w:rsidP="009540B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40BB" w:rsidRDefault="009540BB" w:rsidP="009540B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21"/>
          <w:szCs w:val="21"/>
        </w:rPr>
        <w:t>СООБЩЕНИЕ</w:t>
      </w:r>
    </w:p>
    <w:p w:rsidR="009540BB" w:rsidRDefault="009540BB" w:rsidP="009540B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 19 мая 2017 года в здании Администрации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сельского поселения прошли публичные слушания по вопросу «Об утверждении отчета об исполнении бюджета муниципального образования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Крутовское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сельское поселение за 2016 год».  Участники публичных слушаний рекомендовали Совету депутатов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сельского поселения: Утвердить отчет «Об исполнении бюджета муниципального образования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Крутовское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сельское поселение за 2016 год».</w:t>
      </w:r>
    </w:p>
    <w:p w:rsidR="009540BB" w:rsidRDefault="009540BB" w:rsidP="009540B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40BB" w:rsidRDefault="009540BB" w:rsidP="009540B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40BB" w:rsidRPr="009540BB" w:rsidRDefault="009540BB" w:rsidP="009540BB">
      <w:pPr>
        <w:widowControl w:val="0"/>
        <w:tabs>
          <w:tab w:val="left" w:pos="3930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  <w:t>АДМИНИСТРАЦИЯ КРУТОВСКОГО СЕЛЬСКОГО ПОСЕЛЕНИЯ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left="2832"/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  <w:t xml:space="preserve">  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left="2832"/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  <w:t xml:space="preserve">    ПОСТАНОВЛЕНИЕ 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left="2832"/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  <w:t xml:space="preserve"> 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left="2832"/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от   12.05. 2017 года          № 21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ind w:right="4770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Об утверждении порядка формирования и ведения </w:t>
      </w:r>
      <w:proofErr w:type="gram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реестра источников доходов бюджета муниципального образования</w:t>
      </w:r>
      <w:proofErr w:type="gramEnd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сельское поселение.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right="4770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ab/>
        <w:t xml:space="preserve">В соответствии со статьей 55 Федерального Закона от 06.10.2003             № 131-ФЗ «Об общих принципах организации местного самоуправления в Российской Федерации», ч.1, ч.3, ч.7 статьи 47.1 Бюджетного кодекса Российской Федерации и в целях </w:t>
      </w:r>
      <w:proofErr w:type="gram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организации учета источников доходов бюджета муниципального образования</w:t>
      </w:r>
      <w:proofErr w:type="gram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поселение, Администрация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Крутовского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сельского поселения: 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zh-CN" w:bidi="hi-IN"/>
        </w:rPr>
        <w:t>ПОСТАНОВЛЯЕТ: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1. Утвердить Порядок формирования и ведения </w:t>
      </w:r>
      <w:proofErr w:type="gram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реестра источников доходов бюджета муниципального образования</w:t>
      </w:r>
      <w:proofErr w:type="gram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поселение, согласно приложению.</w:t>
      </w:r>
    </w:p>
    <w:p w:rsidR="009540BB" w:rsidRPr="009540BB" w:rsidRDefault="009540BB" w:rsidP="009540BB">
      <w:pPr>
        <w:widowControl w:val="0"/>
        <w:tabs>
          <w:tab w:val="left" w:pos="720"/>
          <w:tab w:val="left" w:pos="73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0BB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      2.  </w:t>
      </w:r>
      <w:proofErr w:type="gramStart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</w:t>
      </w:r>
      <w:proofErr w:type="spellStart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  на официальном сайте муниципального образования «</w:t>
      </w:r>
      <w:proofErr w:type="spellStart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954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Интернет.</w:t>
      </w:r>
      <w:proofErr w:type="gramEnd"/>
    </w:p>
    <w:p w:rsidR="009540BB" w:rsidRPr="009540BB" w:rsidRDefault="009540BB" w:rsidP="00954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0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Глава муниципального образования</w:t>
      </w:r>
    </w:p>
    <w:p w:rsidR="009540BB" w:rsidRPr="009540BB" w:rsidRDefault="009540BB" w:rsidP="009540B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proofErr w:type="spell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</w:t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ab/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ab/>
        <w:t xml:space="preserve">                     </w:t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ab/>
      </w:r>
      <w:proofErr w:type="spell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М.В.Васильева</w:t>
      </w:r>
      <w:proofErr w:type="spellEnd"/>
    </w:p>
    <w:p w:rsidR="009540BB" w:rsidRPr="009540BB" w:rsidRDefault="009540BB" w:rsidP="009540BB">
      <w:pPr>
        <w:pageBreakBefore/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Приложение </w:t>
      </w:r>
    </w:p>
    <w:p w:rsidR="009540BB" w:rsidRPr="009540BB" w:rsidRDefault="009540BB" w:rsidP="009540BB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к постановлению Администрации</w:t>
      </w:r>
    </w:p>
    <w:p w:rsidR="009540BB" w:rsidRPr="009540BB" w:rsidRDefault="009540BB" w:rsidP="009540B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сельского поселения</w:t>
      </w:r>
    </w:p>
    <w:p w:rsidR="009540BB" w:rsidRPr="009540BB" w:rsidRDefault="009540BB" w:rsidP="009540BB">
      <w:pPr>
        <w:widowControl w:val="0"/>
        <w:suppressAutoHyphens/>
        <w:autoSpaceDE w:val="0"/>
        <w:spacing w:after="0" w:line="240" w:lineRule="auto"/>
        <w:ind w:left="4963" w:firstLine="709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      от 12.05. 2017 г. № 21   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b/>
          <w:color w:val="000000"/>
          <w:kern w:val="1"/>
          <w:sz w:val="20"/>
          <w:szCs w:val="20"/>
          <w:lang w:eastAsia="zh-CN" w:bidi="hi-IN"/>
        </w:rPr>
        <w:t>Порядок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  <w:t xml:space="preserve">формирования и ведения реестра источников доходов 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  <w:t xml:space="preserve">бюджета муниципального образования </w:t>
      </w:r>
      <w:proofErr w:type="spellStart"/>
      <w:r w:rsidRPr="009540BB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  <w:t xml:space="preserve"> сельское поселение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1. Настоящий порядок </w:t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формирования и ведения </w:t>
      </w:r>
      <w:proofErr w:type="gram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реестра источников доходов бюджета муниципального образования</w:t>
      </w:r>
      <w:proofErr w:type="gram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</w:t>
      </w: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формирования и ведения </w:t>
      </w:r>
      <w:proofErr w:type="gram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реестра источников доходов бюджета муниципального образования</w:t>
      </w:r>
      <w:proofErr w:type="gram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</w:t>
      </w: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>.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>2. Р</w:t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еестр источников доходов бюджета – свод информации о доходах бюджета по источникам доходов бюджета муниципального образования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поселение, формируемой в процессе составления, утверждения и исполнения бюджета, на основании </w:t>
      </w:r>
      <w:proofErr w:type="gram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перечня источников доходов бюджета муниципального образования</w:t>
      </w:r>
      <w:proofErr w:type="gram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поселение.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3. </w:t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Формирование и ведение </w:t>
      </w:r>
      <w:proofErr w:type="gram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реестра источников доходов бюджета муниципального образования</w:t>
      </w:r>
      <w:proofErr w:type="gram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</w:t>
      </w: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 осуществляется старшим менеджером Администрации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Крутовского</w:t>
      </w:r>
      <w:proofErr w:type="spellEnd"/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 сельского поселения в соответствии с требованиями настоящего Порядка.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4. </w:t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Формирование и ведение </w:t>
      </w:r>
      <w:proofErr w:type="gram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реестра источников доходов бюджета муниципального образования</w:t>
      </w:r>
      <w:proofErr w:type="gram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</w:t>
      </w: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 осуществляется в бумажном и электронном форматах.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5. </w:t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Формирование и ведение </w:t>
      </w:r>
      <w:proofErr w:type="gram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реестра источников доходов бюджета муниципального образования</w:t>
      </w:r>
      <w:proofErr w:type="gram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</w:t>
      </w: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 осуществляется по форме согласно приложению к настоящему Порядку.</w:t>
      </w:r>
    </w:p>
    <w:p w:rsidR="009540BB" w:rsidRPr="009540BB" w:rsidRDefault="009540BB" w:rsidP="009540B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sectPr w:rsidR="009540BB" w:rsidRPr="009540BB">
          <w:footerReference w:type="default" r:id="rId8"/>
          <w:pgSz w:w="11906" w:h="16838"/>
          <w:pgMar w:top="600" w:right="1134" w:bottom="1134" w:left="1134" w:header="720" w:footer="720" w:gutter="0"/>
          <w:cols w:space="720"/>
          <w:docGrid w:linePitch="360"/>
        </w:sectPr>
      </w:pPr>
      <w:r w:rsidRPr="009540BB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zh-CN" w:bidi="hi-IN"/>
        </w:rPr>
        <w:t xml:space="preserve">6. </w:t>
      </w:r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Данные реестра используются при составлении проекта бюджета муниципального образования </w:t>
      </w:r>
      <w:proofErr w:type="spellStart"/>
      <w:r w:rsidRPr="009540BB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Крутовское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сельское поселение на </w:t>
      </w:r>
      <w:proofErr w:type="gram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очередной</w:t>
      </w:r>
      <w:proofErr w:type="gram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финансовыйгод</w:t>
      </w:r>
      <w:proofErr w:type="spellEnd"/>
      <w:r w:rsidRPr="009540BB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.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10724"/>
        <w:gridCol w:w="5196"/>
      </w:tblGrid>
      <w:tr w:rsidR="009540BB" w:rsidRPr="009540BB" w:rsidTr="00AF176C">
        <w:trPr>
          <w:trHeight w:val="780"/>
        </w:trPr>
        <w:tc>
          <w:tcPr>
            <w:tcW w:w="441" w:type="dxa"/>
            <w:shd w:val="clear" w:color="auto" w:fill="auto"/>
            <w:vAlign w:val="bottom"/>
          </w:tcPr>
          <w:p w:rsidR="009540BB" w:rsidRPr="009540BB" w:rsidRDefault="009540BB" w:rsidP="009540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724" w:type="dxa"/>
            <w:shd w:val="clear" w:color="auto" w:fill="auto"/>
            <w:vAlign w:val="bottom"/>
          </w:tcPr>
          <w:p w:rsidR="009540BB" w:rsidRPr="009540BB" w:rsidRDefault="009540BB" w:rsidP="009540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196" w:type="dxa"/>
            <w:shd w:val="clear" w:color="auto" w:fill="auto"/>
            <w:vAlign w:val="bottom"/>
          </w:tcPr>
          <w:p w:rsidR="009540BB" w:rsidRPr="009540BB" w:rsidRDefault="009540BB" w:rsidP="00517E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Приложение </w:t>
            </w:r>
          </w:p>
          <w:p w:rsidR="009540BB" w:rsidRPr="009540BB" w:rsidRDefault="009540BB" w:rsidP="00517E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к Порядку формирования </w:t>
            </w:r>
          </w:p>
          <w:p w:rsidR="009540BB" w:rsidRPr="009540BB" w:rsidRDefault="009540BB" w:rsidP="00517E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и ведения реестра источников доходов </w:t>
            </w:r>
          </w:p>
          <w:p w:rsidR="009540BB" w:rsidRPr="009540BB" w:rsidRDefault="009540BB" w:rsidP="00517E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муниципального образования </w:t>
            </w:r>
          </w:p>
          <w:p w:rsidR="009540BB" w:rsidRPr="009540BB" w:rsidRDefault="009540BB" w:rsidP="00517E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9540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Крутовское</w:t>
            </w:r>
            <w:proofErr w:type="spellEnd"/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 сельское поселение</w:t>
            </w:r>
          </w:p>
        </w:tc>
      </w:tr>
      <w:tr w:rsidR="009540BB" w:rsidRPr="009540BB" w:rsidTr="00AF176C">
        <w:trPr>
          <w:trHeight w:val="675"/>
        </w:trPr>
        <w:tc>
          <w:tcPr>
            <w:tcW w:w="16361" w:type="dxa"/>
            <w:gridSpan w:val="3"/>
            <w:shd w:val="clear" w:color="auto" w:fill="auto"/>
            <w:vAlign w:val="bottom"/>
          </w:tcPr>
          <w:p w:rsidR="009540BB" w:rsidRPr="009540BB" w:rsidRDefault="009540BB" w:rsidP="00954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Форма реестра источников доходов </w:t>
            </w: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муниципального образования </w:t>
            </w:r>
            <w:proofErr w:type="spellStart"/>
            <w:r w:rsidRPr="009540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Крутовское</w:t>
            </w:r>
            <w:proofErr w:type="spellEnd"/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 сельское поселение</w:t>
            </w:r>
          </w:p>
        </w:tc>
      </w:tr>
    </w:tbl>
    <w:p w:rsidR="009540BB" w:rsidRPr="009540BB" w:rsidRDefault="009540BB" w:rsidP="009540BB">
      <w:pPr>
        <w:widowControl w:val="0"/>
        <w:suppressAutoHyphens/>
        <w:spacing w:after="0" w:line="240" w:lineRule="auto"/>
        <w:jc w:val="both"/>
        <w:rPr>
          <w:rFonts w:ascii="Courier New" w:eastAsia="Lucida Sans Unicode" w:hAnsi="Courier New" w:cs="Courier New"/>
          <w:kern w:val="1"/>
          <w:sz w:val="18"/>
          <w:szCs w:val="18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rPr>
          <w:rFonts w:ascii="Courier New" w:eastAsia="Lucida Sans Unicode" w:hAnsi="Courier New" w:cs="Courier New"/>
          <w:kern w:val="1"/>
          <w:sz w:val="18"/>
          <w:szCs w:val="18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514"/>
        <w:gridCol w:w="374"/>
        <w:gridCol w:w="1469"/>
        <w:gridCol w:w="1671"/>
        <w:gridCol w:w="1545"/>
        <w:gridCol w:w="1292"/>
        <w:gridCol w:w="1411"/>
        <w:gridCol w:w="1292"/>
        <w:gridCol w:w="3097"/>
        <w:gridCol w:w="15"/>
      </w:tblGrid>
      <w:tr w:rsidR="009540BB" w:rsidRPr="009540BB" w:rsidTr="00AF176C">
        <w:trPr>
          <w:gridAfter w:val="1"/>
          <w:wAfter w:w="15" w:type="dxa"/>
          <w:cantSplit/>
        </w:trPr>
        <w:tc>
          <w:tcPr>
            <w:tcW w:w="115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Номер реестровой записи 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Наименование группы источников доходов бюджетов / наименование источника дохода бюджета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Классификация доходов бюджетов 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Наименование главного администратора доходов федерального бюджета 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Нормативы распределения в бюджет </w:t>
            </w: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МО </w:t>
            </w:r>
            <w:proofErr w:type="spellStart"/>
            <w:r w:rsidRPr="009540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Крутовское</w:t>
            </w:r>
            <w:proofErr w:type="spellEnd"/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 сельское поселение 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Прогноз доходов бюджета на 20__ г. (текущий финансовый год) &lt;1&gt; 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Кассовые поступления в текущем финансовом году (по состоянию на "__"________ 20__ г.) 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Оценка исполнения 20__ г. (текущий финансовый год)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Прогноз доходов бюджета </w:t>
            </w:r>
          </w:p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на 20__ г.</w:t>
            </w:r>
          </w:p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(очередной финансовый год) </w:t>
            </w:r>
          </w:p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40BB" w:rsidRPr="009540BB" w:rsidTr="00AF176C">
        <w:trPr>
          <w:cantSplit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1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код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наименование </w:t>
            </w: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40BB" w:rsidRPr="009540BB" w:rsidTr="00AF176C">
        <w:tc>
          <w:tcPr>
            <w:tcW w:w="115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tabs>
                <w:tab w:val="center" w:pos="574"/>
              </w:tabs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ab/>
              <w:t xml:space="preserve">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2 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3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4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5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6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7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8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9 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10 </w:t>
            </w:r>
          </w:p>
        </w:tc>
      </w:tr>
      <w:tr w:rsidR="009540BB" w:rsidRPr="009540BB" w:rsidTr="00AF176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40BB" w:rsidRPr="009540BB" w:rsidTr="00AF176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40BB" w:rsidRPr="009540BB" w:rsidTr="00AF176C">
        <w:tc>
          <w:tcPr>
            <w:tcW w:w="6184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540BB" w:rsidRPr="009540BB" w:rsidRDefault="009540BB" w:rsidP="009540BB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autoSpaceDE w:val="0"/>
        <w:spacing w:after="15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1500"/>
        <w:gridCol w:w="250"/>
        <w:gridCol w:w="1500"/>
        <w:gridCol w:w="250"/>
        <w:gridCol w:w="2750"/>
      </w:tblGrid>
      <w:tr w:rsidR="009540BB" w:rsidRPr="009540BB" w:rsidTr="00AF176C">
        <w:tc>
          <w:tcPr>
            <w:tcW w:w="27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Руководитель (уполномоченное лицо)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750" w:type="dxa"/>
            <w:tcBorders>
              <w:bottom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</w:tr>
      <w:tr w:rsidR="009540BB" w:rsidRPr="009540BB" w:rsidTr="00AF176C">
        <w:tc>
          <w:tcPr>
            <w:tcW w:w="27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(должность)</w:t>
            </w:r>
          </w:p>
        </w:tc>
        <w:tc>
          <w:tcPr>
            <w:tcW w:w="2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750" w:type="dxa"/>
            <w:tcBorders>
              <w:top w:val="single" w:sz="6" w:space="0" w:color="000000"/>
            </w:tcBorders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(расшифровка подписи)</w:t>
            </w:r>
          </w:p>
        </w:tc>
      </w:tr>
      <w:tr w:rsidR="009540BB" w:rsidRPr="009540BB" w:rsidTr="00AF176C">
        <w:tc>
          <w:tcPr>
            <w:tcW w:w="27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"___"___________ 20__ г.</w:t>
            </w:r>
          </w:p>
        </w:tc>
        <w:tc>
          <w:tcPr>
            <w:tcW w:w="150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50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750" w:type="dxa"/>
            <w:shd w:val="clear" w:color="auto" w:fill="auto"/>
          </w:tcPr>
          <w:p w:rsidR="009540BB" w:rsidRPr="009540BB" w:rsidRDefault="009540BB" w:rsidP="009540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540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 </w:t>
            </w:r>
          </w:p>
        </w:tc>
      </w:tr>
    </w:tbl>
    <w:p w:rsidR="009540BB" w:rsidRPr="009540BB" w:rsidRDefault="009540BB" w:rsidP="009540B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ind w:right="477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517E15" w:rsidRPr="00517E15" w:rsidRDefault="00517E15" w:rsidP="00517E15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</w:t>
      </w:r>
      <w:r w:rsidRPr="00517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</w:p>
    <w:p w:rsidR="00517E15" w:rsidRPr="00517E15" w:rsidRDefault="00517E15" w:rsidP="00517E1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517E15" w:rsidRPr="00517E15" w:rsidRDefault="00517E15" w:rsidP="00517E1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517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ПОСТАНОВЛЕНИЕ </w:t>
      </w:r>
    </w:p>
    <w:p w:rsidR="00517E15" w:rsidRPr="00517E15" w:rsidRDefault="00517E15" w:rsidP="00517E1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17E15" w:rsidRPr="00517E15" w:rsidRDefault="00517E15" w:rsidP="00517E1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17E15" w:rsidRPr="00517E15" w:rsidRDefault="00517E15" w:rsidP="00517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12.05. 2017 года          № 22</w:t>
      </w:r>
    </w:p>
    <w:p w:rsidR="00517E15" w:rsidRPr="00517E15" w:rsidRDefault="00517E15" w:rsidP="00517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6526" wp14:editId="391A4F3A">
                <wp:simplePos x="0" y="0"/>
                <wp:positionH relativeFrom="column">
                  <wp:posOffset>-109855</wp:posOffset>
                </wp:positionH>
                <wp:positionV relativeFrom="paragraph">
                  <wp:posOffset>194945</wp:posOffset>
                </wp:positionV>
                <wp:extent cx="3143250" cy="806450"/>
                <wp:effectExtent l="0" t="0" r="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E15" w:rsidRPr="00517E15" w:rsidRDefault="00517E15" w:rsidP="00517E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17E15">
                              <w:rPr>
                                <w:sz w:val="20"/>
                                <w:szCs w:val="20"/>
                              </w:rPr>
                              <w:t xml:space="preserve">Об утверждении </w:t>
                            </w:r>
                            <w:proofErr w:type="gramStart"/>
                            <w:r w:rsidRPr="00517E15">
                              <w:rPr>
                                <w:sz w:val="20"/>
                                <w:szCs w:val="20"/>
                              </w:rPr>
                              <w:t>Порядка провед</w:t>
                            </w:r>
                            <w:r w:rsidRPr="00517E1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517E15">
                              <w:rPr>
                                <w:sz w:val="20"/>
                                <w:szCs w:val="20"/>
                              </w:rPr>
                              <w:t>ния оценки эффективности реализации долгосрочных целевых пр</w:t>
                            </w:r>
                            <w:r w:rsidRPr="00517E15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517E15">
                              <w:rPr>
                                <w:sz w:val="20"/>
                                <w:szCs w:val="20"/>
                              </w:rPr>
                              <w:t>грамм</w:t>
                            </w:r>
                            <w:proofErr w:type="gramEnd"/>
                          </w:p>
                          <w:p w:rsidR="00517E15" w:rsidRPr="00810E8D" w:rsidRDefault="00517E15" w:rsidP="00517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8.65pt;margin-top:15.35pt;width:247.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" filled="f" stroked="f">
                <v:textbox>
                  <w:txbxContent>
                    <w:p w:rsidR="00517E15" w:rsidRPr="00517E15" w:rsidRDefault="00517E15" w:rsidP="00517E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17E15">
                        <w:rPr>
                          <w:sz w:val="20"/>
                          <w:szCs w:val="20"/>
                        </w:rPr>
                        <w:t xml:space="preserve">Об утверждении </w:t>
                      </w:r>
                      <w:proofErr w:type="gramStart"/>
                      <w:r w:rsidRPr="00517E15">
                        <w:rPr>
                          <w:sz w:val="20"/>
                          <w:szCs w:val="20"/>
                        </w:rPr>
                        <w:t>Порядка провед</w:t>
                      </w:r>
                      <w:r w:rsidRPr="00517E15">
                        <w:rPr>
                          <w:sz w:val="20"/>
                          <w:szCs w:val="20"/>
                        </w:rPr>
                        <w:t>е</w:t>
                      </w:r>
                      <w:r w:rsidRPr="00517E15">
                        <w:rPr>
                          <w:sz w:val="20"/>
                          <w:szCs w:val="20"/>
                        </w:rPr>
                        <w:t>ния оценки эффективности реализации долгосрочных целевых пр</w:t>
                      </w:r>
                      <w:r w:rsidRPr="00517E15">
                        <w:rPr>
                          <w:sz w:val="20"/>
                          <w:szCs w:val="20"/>
                        </w:rPr>
                        <w:t>о</w:t>
                      </w:r>
                      <w:r w:rsidRPr="00517E15">
                        <w:rPr>
                          <w:sz w:val="20"/>
                          <w:szCs w:val="20"/>
                        </w:rPr>
                        <w:t>грамм</w:t>
                      </w:r>
                      <w:proofErr w:type="gramEnd"/>
                    </w:p>
                    <w:p w:rsidR="00517E15" w:rsidRPr="00810E8D" w:rsidRDefault="00517E15" w:rsidP="00517E15"/>
                  </w:txbxContent>
                </v:textbox>
              </v:shape>
            </w:pict>
          </mc:Fallback>
        </mc:AlternateContent>
      </w:r>
    </w:p>
    <w:p w:rsidR="00517E15" w:rsidRPr="00517E15" w:rsidRDefault="00517E15" w:rsidP="00517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7E15" w:rsidRPr="00517E15" w:rsidRDefault="00517E15" w:rsidP="0051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517E15" w:rsidRPr="00517E15" w:rsidRDefault="00517E15" w:rsidP="00517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ч.3 ст. 179 Бюджетного кодекса Российской Федерации, руководствуясь пунктом 3 ст.9 Положения о бюджетном процессе в                     муниципальном образовании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от 26.06.2008 г.    № 20 (с последующими изменениями и дополнениями), Администрация 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</w:t>
      </w:r>
    </w:p>
    <w:p w:rsidR="00517E15" w:rsidRPr="00517E15" w:rsidRDefault="00517E15" w:rsidP="0051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517E15" w:rsidRPr="00517E15" w:rsidRDefault="00517E15" w:rsidP="0051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 Утвердить прилагаемый Порядок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эффективности  реализации долгосрочных целевых программ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17E15" w:rsidRDefault="00517E15" w:rsidP="00517E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2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Крутовское</w:t>
      </w:r>
      <w:proofErr w:type="spellEnd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Крутовского</w:t>
      </w:r>
      <w:proofErr w:type="spellEnd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сельского поселения «</w:t>
      </w:r>
      <w:proofErr w:type="spellStart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Крутовские</w:t>
      </w:r>
      <w:proofErr w:type="spellEnd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Крутовское</w:t>
      </w:r>
      <w:proofErr w:type="spellEnd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сельское поселение  на официальном сайте муниципального образования «</w:t>
      </w:r>
      <w:proofErr w:type="spellStart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Велижский</w:t>
      </w:r>
      <w:proofErr w:type="spellEnd"/>
      <w:r w:rsidRPr="00517E1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район» в сети Интернет.</w:t>
      </w:r>
      <w:proofErr w:type="gramEnd"/>
    </w:p>
    <w:p w:rsidR="00517E15" w:rsidRPr="00517E15" w:rsidRDefault="00517E15" w:rsidP="00517E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517E15" w:rsidRPr="00517E15" w:rsidRDefault="00517E15" w:rsidP="00517E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</w:p>
    <w:p w:rsidR="00517E15" w:rsidRPr="00517E15" w:rsidRDefault="00517E15" w:rsidP="0051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 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постановлением Администрации 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12.05. 2017 года № 22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проведения оценки эффективности реализации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долгосрочных целевых программ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right="266"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Calibri" w:hAnsi="Times New Roman" w:cs="Times New Roman"/>
          <w:sz w:val="20"/>
          <w:szCs w:val="20"/>
          <w:lang w:eastAsia="ru-RU"/>
        </w:rPr>
        <w:t>Общие положения</w:t>
      </w:r>
    </w:p>
    <w:p w:rsidR="00517E15" w:rsidRPr="00517E15" w:rsidRDefault="00517E15" w:rsidP="005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Настоящий Порядок разработан в целях проведения оценки соответствия действующих долгосрочных целевых программ (далее - муниципальные программы) требованиям нормативной правовой базы  муниципального образования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системным принципам формирования и реализации муниципальных программ, оценки хода их выполнения и деятельности заказчиков муниципальных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обеспечению достижения представленных в муниципальных программах показателей целей, их результативности и эффективности и устанавливает критерии оценки эффективности реализации муниципальных программ.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 Оценка эффективности реализации муниципальных программ   производится ежегодно администраторами (разработчиками) муниципальных программ в срок до 1 мая года, следующего за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1.3. Оценка эффективности реализации муниципальных программ  производится с учетом следующих составляющих: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степени достижения целей подпрограмм и муниципальной программы в целом;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оценки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степени выполнения показателей основных мероприятий муниципальной программы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степени соответствия запланированному уровню затрат;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оценки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эффективности использования средств бюджета муниципального образования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 (или) областного, и (или) федерального бюджетов.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1.4. Оценка эффективности реализации муниципальных программ осуществляется в два этапа.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оценки степени реализации мероприятий муниципальной программы;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степени соответствия запланированному уровню затрат;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эффективности использования средств местного и (или) областного, и (или) федерального бюджетов;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 оценки степени достижения целей подпрограмм (выполнения показателей основных мероприятий муниципальной программы).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втором этапе осуществляется оценка эффективности реализации муниципальной программы, которая определяется с учетом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степени достижения целей муниципальной программы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оценки эффективности реализации подпрограмм и основных мероприятий муниципальной программы.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4440"/>
      <w:bookmarkEnd w:id="1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Оценка степени реализации мероприятий муниципальной программы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в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М, 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степень реализации мероприятий муниципальной программы;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в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мероприятий муниципальной программы, полностью или частично реализуемых за счет средств местных и (или) областного, и (или) федерального бюджетов, оценка степени реализации мероприятий проводится в обязательном порядке.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отношении мероприятий муниципальной программы, на реализацию которых средства местных и (или) областного, и (или) федерального бюджетов не предусмотрены, решение о необходимости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степени реализации этих мероприятий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принимается администратором (разработчиком) муниципальной программы.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4465"/>
      <w:bookmarkEnd w:id="2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степени соответствия запланированному уровню затрат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соответствия запланированному уровню затрат местных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СС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уз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СС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уз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соответствия запланированному уровню муниципальных и (или) областного и (или) федерального бюджетов;</w:t>
      </w:r>
      <w:proofErr w:type="gramEnd"/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плановые расходы местных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отдельных случаях (по согласованию с созданным на уровне муниципального образования коллегиального органа по рассмотрению вопросов, связанных с разработкой и реализацией муниципальных программ) допускается учитывать плановые расходы </w:t>
      </w:r>
      <w:bookmarkStart w:id="3" w:name="Par4480"/>
      <w:bookmarkEnd w:id="3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местных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Согласование иной даты, по состоянию на которую учитываются плановые расходы местных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4. Оценка эффективности использования средств местных и (или) областного, и (или) федерального бюджетов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использования средств местных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местных и (или) областного, и (или) федерального бюджетов по следующей формуле: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ис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СС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уз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ис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использования средств местных и (или) областного, и (или) федерального бюджетов;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мероприятий, полностью или частично финансируемых из средств местных и (или) областного, и (или) федерального бюджетов;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СС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уз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соответствия запланированному уровню затрат местных и (или) областного, и (или) федерального бюджетов.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4501"/>
      <w:bookmarkEnd w:id="4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степени достижения целей подпрограмм (выполнения </w:t>
      </w:r>
      <w:proofErr w:type="gramEnd"/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показателей основных мероприятий муниципальной программы)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 плановых значений каждого показателя цели подпрограммы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показателей основных мероприятий муниципальной программы.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Степень достижения планового значения показателя (индикатора) рассчитывается: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для показателей, желаемой тенденцией развития которых является увеличение значений, по формуле:                               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пф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степень достижения планового значения показателя;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пф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значение показателя, фактически достигнутое на конец отчетного периода;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плановое значение показателя на конец отчетного года;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для показателей, желаемой тенденцией развития которых является снижение значений, по формуле:                           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пф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Степень реализации подпрограммы (основного мероприятия, не входящего в состав подпрограммы) рассчитывается по формуле: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517E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∑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r w:rsidRPr="00517E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1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степень реализации подпрограммы (основного мероприятия муниципальной программы);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степень достижения планового значения показателя;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N - число показателей.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больше 1, значение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принимается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равным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4533"/>
      <w:bookmarkEnd w:id="5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Оценка эффективности реализации подпрограммы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(основного мероприятия муниципальной программы)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Эффективность реализации подпрограммы (основного мероприятия муниципальной 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местных и (или) областного, и (или) федерального бюджетов по следующей формуле: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/п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517E15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ru-RU"/>
        </w:rPr>
        <w:drawing>
          <wp:inline distT="0" distB="0" distL="0" distR="0" wp14:anchorId="415E379E" wp14:editId="5688702E">
            <wp:extent cx="12382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17E15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ru-RU"/>
        </w:rPr>
        <w:drawing>
          <wp:inline distT="0" distB="0" distL="0" distR="0" wp14:anchorId="4B446F00" wp14:editId="1B63281F">
            <wp:extent cx="12382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ис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реализации подпрограммы (основного мероприятия муниципальной программы);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подпрограммы (основного мероприятия муниципальной программы);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ис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использования средств местных и (или) областного, и (или) федерального бюджетов.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Эффективность реализации подпрограммы (основного мероприятия муниципальной программы) признается высокой в случае, если значение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не менее 0,9.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Эффективность реализации подпрограммы (основного мероприятия муниципальной программы) признается средней в случае, если значение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не менее 0,8.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Эффективность реализации подпрограммы (основного мероприятия муниципальной программы) признается удовлетворительной в случае, если значение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не менее 0,7.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остальных случаях эффективность реализации подпрограммы (основного мероприятия муниципальной программы) признается неудовлетворительной.</w:t>
      </w:r>
      <w:bookmarkStart w:id="6" w:name="Par4549"/>
      <w:bookmarkEnd w:id="6"/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7. Оценка степени достижения целей муниципальной программы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Степень достижения планового значения показателя, характеризующего цели муниципальной программы, рассчитывается: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для показателей, желаемой тенденцией развития которых является увеличение значений, по формуле:                                       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гпф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,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гпф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показателей, желаемой тенденцией развития которых является снижение значений, по формуле: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гпф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Степень реализации муниципальной программы рассчитывается по формуле:                                                                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∑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М, 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1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муниципальной программы;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М - число показателей, характеризующих цели муниципальной программы.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больше 1, значение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гппз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принимается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равным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</w:t>
      </w:r>
      <w:bookmarkStart w:id="7" w:name="Par4581"/>
      <w:bookmarkEnd w:id="7"/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8. Оценка эффективности реализации муниципальной программы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   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</w:t>
      </w:r>
      <w:proofErr w:type="gramEnd"/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0,5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517E15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ru-RU"/>
        </w:rPr>
        <w:drawing>
          <wp:inline distT="0" distB="0" distL="0" distR="0" wp14:anchorId="4606EDED" wp14:editId="12E26D93">
            <wp:extent cx="1238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17E15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ru-RU"/>
        </w:rPr>
        <w:drawing>
          <wp:inline distT="0" distB="0" distL="0" distR="0" wp14:anchorId="13925707" wp14:editId="70216AFA">
            <wp:extent cx="1238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+ 0,5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517E15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ru-RU"/>
        </w:rPr>
        <w:drawing>
          <wp:inline distT="0" distB="0" distL="0" distR="0" wp14:anchorId="4D11E4F1" wp14:editId="4288CF96">
            <wp:extent cx="1238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17E15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ru-RU"/>
        </w:rPr>
        <w:drawing>
          <wp:inline distT="0" distB="0" distL="0" distR="0" wp14:anchorId="159085C3" wp14:editId="64683C44">
            <wp:extent cx="12382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∑ (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517E15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ru-RU"/>
        </w:rPr>
        <w:drawing>
          <wp:inline distT="0" distB="0" distL="0" distR="0" wp14:anchorId="0DDCDFE9" wp14:editId="6D86B400">
            <wp:extent cx="12382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17E15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ru-RU"/>
        </w:rPr>
        <w:drawing>
          <wp:inline distT="0" distB="0" distL="0" distR="0" wp14:anchorId="63B45357" wp14:editId="17EE2DD0">
            <wp:extent cx="12382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j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), 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1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реализации муниципальной программы;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муниципальной программы;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/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п</w:t>
      </w:r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реализации подпрограммы (основного мероприятия муниципальной программы);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j</w:t>
      </w:r>
      <w:proofErr w:type="spellEnd"/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j</w:t>
      </w:r>
      <w:proofErr w:type="spellEnd"/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= Ф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j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/ Ф, где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j</w:t>
      </w:r>
      <w:proofErr w:type="spellEnd"/>
      <w:proofErr w:type="gram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Ф - объем фактических расходов из местных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j - количество подпрограмм и основных мероприятий муниципальной программы.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менее 0,90.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менее 0,80.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ЭР</w:t>
      </w:r>
      <w:r w:rsidRPr="00517E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гп</w:t>
      </w:r>
      <w:proofErr w:type="spellEnd"/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менее 0,70.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оценки эффективности муниципальной программы представляется администратором (разработчиком) муниципальной программы по форме, согласно таблице № 1.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№1</w:t>
      </w:r>
    </w:p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517E15" w:rsidRPr="00517E15" w:rsidTr="00AF176C">
        <w:trPr>
          <w:trHeight w:val="975"/>
        </w:trPr>
        <w:tc>
          <w:tcPr>
            <w:tcW w:w="10349" w:type="dxa"/>
            <w:gridSpan w:val="2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 эффективности реализации муниципальной </w:t>
            </w: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муниципальной программы)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20___ год</w:t>
            </w:r>
          </w:p>
        </w:tc>
      </w:tr>
      <w:tr w:rsidR="00517E15" w:rsidRPr="00517E15" w:rsidTr="00AF176C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расчета</w:t>
            </w:r>
          </w:p>
        </w:tc>
      </w:tr>
      <w:tr w:rsidR="00517E15" w:rsidRPr="00517E15" w:rsidTr="00AF176C">
        <w:trPr>
          <w:trHeight w:val="4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Подпрограмма 1. "_______________________"(наименование программы)</w:t>
            </w:r>
          </w:p>
        </w:tc>
      </w:tr>
      <w:tr w:rsidR="00517E15" w:rsidRPr="00517E15" w:rsidTr="00AF176C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Степень реализации мероприятий 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Степень соответствия запланированному уровню расходов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Эффективность использования средств                       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Оценка степени достижения целей                               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=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Степень реализации подпрограммы                        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Σ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Оценка эффективности реализации подпрограммы   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*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36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Подпрограмма  2. "_______________________"(наименование программы)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Степень реализации мероприятий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соответствия запланированному уровню расходов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Эффективность использования средств              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Оценка степени достижения целей                               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=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Степень реализации подпрограммы                       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Σ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Оценка эффективности реализации подпрограммы    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*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25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Основное мероприятие №№№. «_________________» (наименование мероприятия)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Степень реализации мероприятий 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Эффективность использования средств                     </w:t>
            </w: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=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Σ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*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25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Оценка ОМП в целом</w:t>
            </w:r>
          </w:p>
        </w:tc>
      </w:tr>
      <w:tr w:rsidR="00517E15" w:rsidRPr="00517E15" w:rsidTr="00AF176C">
        <w:trPr>
          <w:trHeight w:val="57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Оценка степени достижения целей                                       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СДгппз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ЗПгпф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ЗПгпл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=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СРгп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Σ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СДгппз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Коэффициент значимости подпрограммы (основного мероприятия)                                                                                              k =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Фгп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E15" w:rsidRPr="00517E15" w:rsidTr="00AF176C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10. Эффективность реализации муниципальной программы                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0,5 *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СРгп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+ 0,5 * Σ </w:t>
            </w:r>
            <w:proofErr w:type="spell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ЭРп</w:t>
            </w:r>
            <w:proofErr w:type="spell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k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15" w:rsidRPr="00517E15" w:rsidRDefault="00517E15" w:rsidP="005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7E15" w:rsidRPr="00517E15" w:rsidRDefault="00517E15" w:rsidP="0051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7E15" w:rsidRPr="00517E15" w:rsidRDefault="00517E15" w:rsidP="0051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40BB" w:rsidRPr="009540BB" w:rsidRDefault="009540BB" w:rsidP="009540BB">
      <w:pPr>
        <w:widowControl w:val="0"/>
        <w:suppressAutoHyphens/>
        <w:spacing w:after="0" w:line="240" w:lineRule="auto"/>
        <w:ind w:right="9581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9540BB" w:rsidRDefault="009540BB" w:rsidP="009540B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40BB" w:rsidRDefault="009540BB" w:rsidP="009540B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40BB" w:rsidRDefault="009540BB" w:rsidP="009540BB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40BB" w:rsidRPr="006D74F3" w:rsidRDefault="009540BB" w:rsidP="009540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D74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9540BB" w:rsidRPr="00BC2186" w:rsidTr="00AF176C">
        <w:tc>
          <w:tcPr>
            <w:tcW w:w="3194" w:type="dxa"/>
            <w:shd w:val="clear" w:color="auto" w:fill="auto"/>
          </w:tcPr>
          <w:p w:rsidR="009540BB" w:rsidRPr="00BC2186" w:rsidRDefault="009540BB" w:rsidP="00AF176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4 (38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мая 2017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9540BB" w:rsidRPr="00BC2186" w:rsidRDefault="009540BB" w:rsidP="00AF176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9540BB" w:rsidRPr="00BC2186" w:rsidRDefault="009540BB" w:rsidP="00AF176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9540BB" w:rsidRPr="00BC2186" w:rsidRDefault="009540BB" w:rsidP="00AF176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9540BB" w:rsidRPr="00BC2186" w:rsidRDefault="009540BB" w:rsidP="00AF176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9540BB" w:rsidRPr="00BC2186" w:rsidRDefault="009540BB" w:rsidP="00AF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9540BB" w:rsidRPr="00BC2186" w:rsidRDefault="009540BB" w:rsidP="00AF176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0BB" w:rsidRPr="00BC2186" w:rsidTr="00AF176C">
        <w:tc>
          <w:tcPr>
            <w:tcW w:w="9571" w:type="dxa"/>
            <w:gridSpan w:val="3"/>
            <w:shd w:val="clear" w:color="auto" w:fill="auto"/>
          </w:tcPr>
          <w:p w:rsidR="009540BB" w:rsidRPr="00BC2186" w:rsidRDefault="009540BB" w:rsidP="00AF176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9540BB" w:rsidRDefault="009540BB" w:rsidP="009540BB"/>
    <w:p w:rsidR="009540BB" w:rsidRDefault="009540BB" w:rsidP="009540BB"/>
    <w:p w:rsidR="008F4182" w:rsidRDefault="008F4182"/>
    <w:sectPr w:rsidR="008F4182" w:rsidSect="009540BB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D7" w:rsidRDefault="00D013D7" w:rsidP="009540BB">
      <w:pPr>
        <w:spacing w:after="0" w:line="240" w:lineRule="auto"/>
      </w:pPr>
      <w:r>
        <w:separator/>
      </w:r>
    </w:p>
  </w:endnote>
  <w:endnote w:type="continuationSeparator" w:id="0">
    <w:p w:rsidR="00D013D7" w:rsidRDefault="00D013D7" w:rsidP="0095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7720"/>
      <w:docPartObj>
        <w:docPartGallery w:val="Page Numbers (Bottom of Page)"/>
        <w:docPartUnique/>
      </w:docPartObj>
    </w:sdtPr>
    <w:sdtContent>
      <w:p w:rsidR="00517E15" w:rsidRDefault="00517E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7E15" w:rsidRDefault="00517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D7" w:rsidRDefault="00D013D7" w:rsidP="009540BB">
      <w:pPr>
        <w:spacing w:after="0" w:line="240" w:lineRule="auto"/>
      </w:pPr>
      <w:r>
        <w:separator/>
      </w:r>
    </w:p>
  </w:footnote>
  <w:footnote w:type="continuationSeparator" w:id="0">
    <w:p w:rsidR="00D013D7" w:rsidRDefault="00D013D7" w:rsidP="0095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53" w:rsidRDefault="00D013D7" w:rsidP="00FE1B53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</w:t>
    </w:r>
    <w:r w:rsidR="009540BB">
      <w:rPr>
        <w:highlight w:val="lightGray"/>
      </w:rPr>
      <w:t xml:space="preserve">              </w:t>
    </w:r>
    <w:r w:rsidR="009540BB">
      <w:rPr>
        <w:highlight w:val="lightGray"/>
      </w:rPr>
      <w:t xml:space="preserve">                                                                                                                  </w:t>
    </w:r>
    <w:r w:rsidR="009540BB">
      <w:rPr>
        <w:highlight w:val="lightGray"/>
      </w:rPr>
      <w:t xml:space="preserve"> № 4  (38) 22</w:t>
    </w:r>
    <w:r>
      <w:rPr>
        <w:highlight w:val="lightGray"/>
      </w:rPr>
      <w:t xml:space="preserve"> мая</w:t>
    </w:r>
    <w:r>
      <w:rPr>
        <w:highlight w:val="lightGray"/>
      </w:rPr>
      <w:t xml:space="preserve"> 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FE1B53" w:rsidRDefault="00D013D7" w:rsidP="00FE1B53">
    <w:pPr>
      <w:pStyle w:val="a3"/>
    </w:pPr>
  </w:p>
  <w:p w:rsidR="00FE1B53" w:rsidRDefault="00D013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BB"/>
    <w:rsid w:val="00517E15"/>
    <w:rsid w:val="008F4182"/>
    <w:rsid w:val="009540BB"/>
    <w:rsid w:val="00D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0BB"/>
  </w:style>
  <w:style w:type="paragraph" w:styleId="a5">
    <w:name w:val="footer"/>
    <w:basedOn w:val="a"/>
    <w:link w:val="a6"/>
    <w:uiPriority w:val="99"/>
    <w:unhideWhenUsed/>
    <w:rsid w:val="009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0BB"/>
  </w:style>
  <w:style w:type="paragraph" w:styleId="a7">
    <w:name w:val="Normal (Web)"/>
    <w:basedOn w:val="a"/>
    <w:uiPriority w:val="99"/>
    <w:semiHidden/>
    <w:unhideWhenUsed/>
    <w:rsid w:val="009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40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0BB"/>
  </w:style>
  <w:style w:type="paragraph" w:styleId="a5">
    <w:name w:val="footer"/>
    <w:basedOn w:val="a"/>
    <w:link w:val="a6"/>
    <w:uiPriority w:val="99"/>
    <w:unhideWhenUsed/>
    <w:rsid w:val="0095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0BB"/>
  </w:style>
  <w:style w:type="paragraph" w:styleId="a7">
    <w:name w:val="Normal (Web)"/>
    <w:basedOn w:val="a"/>
    <w:uiPriority w:val="99"/>
    <w:semiHidden/>
    <w:unhideWhenUsed/>
    <w:rsid w:val="009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40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2017-05-29T12:24:00Z</dcterms:created>
  <dcterms:modified xsi:type="dcterms:W3CDTF">2017-05-29T12:41:00Z</dcterms:modified>
</cp:coreProperties>
</file>