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contextualSpacing/>
        <w:ind w:right="-1" w:firstLine="0"/>
        <w:jc w:val="center"/>
        <w:spacing w:before="0" w:after="0" w:line="240" w:lineRule="auto"/>
        <w:tabs>
          <w:tab w:val="clear" w:pos="708" w:leader="none"/>
          <w:tab w:val="left" w:pos="80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1"/>
        <w:contextualSpacing/>
        <w:ind w:right="-1" w:firstLine="0"/>
        <w:jc w:val="center"/>
        <w:spacing w:before="0" w:after="0" w:line="240" w:lineRule="auto"/>
        <w:tabs>
          <w:tab w:val="clear" w:pos="708" w:leader="none"/>
          <w:tab w:val="left" w:pos="8080" w:leader="none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Cs w:val="24"/>
        </w:rPr>
      </w:r>
    </w:p>
    <w:p>
      <w:pPr>
        <w:pStyle w:val="621"/>
        <w:contextualSpacing/>
        <w:ind w:right="-1" w:firstLine="0"/>
        <w:jc w:val="center"/>
        <w:spacing w:before="0" w:after="0" w:line="240" w:lineRule="auto"/>
        <w:tabs>
          <w:tab w:val="clear" w:pos="708" w:leader="none"/>
          <w:tab w:val="left" w:pos="808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21"/>
        <w:contextualSpacing/>
        <w:ind w:right="-1" w:firstLine="0"/>
        <w:jc w:val="center"/>
        <w:spacing w:before="0" w:after="0" w:line="240" w:lineRule="auto"/>
        <w:tabs>
          <w:tab w:val="clear" w:pos="708" w:leader="none"/>
          <w:tab w:val="left" w:pos="8080" w:leader="none"/>
        </w:tabs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  «Велижский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 Смоленской области </w:t>
      </w:r>
      <w:r/>
    </w:p>
    <w:p>
      <w:pPr>
        <w:pStyle w:val="621"/>
        <w:contextualSpacing/>
        <w:ind w:right="-1" w:firstLine="0"/>
        <w:jc w:val="center"/>
        <w:spacing w:before="0" w:after="0" w:line="240" w:lineRule="auto"/>
        <w:tabs>
          <w:tab w:val="clear" w:pos="708" w:leader="none"/>
          <w:tab w:val="left" w:pos="808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21"/>
        <w:contextualSpacing/>
        <w:ind w:right="-1" w:firstLine="0"/>
        <w:jc w:val="right"/>
        <w:spacing w:before="0" w:after="0" w:line="240" w:lineRule="auto"/>
        <w:tabs>
          <w:tab w:val="clear" w:pos="708" w:leader="none"/>
          <w:tab w:val="left" w:pos="8080" w:leader="none"/>
        </w:tabs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p>
      <w:pPr>
        <w:pStyle w:val="621"/>
        <w:contextualSpacing/>
        <w:ind w:right="-1" w:firstLine="0"/>
        <w:jc w:val="right"/>
        <w:spacing w:before="0" w:after="0" w:line="240" w:lineRule="auto"/>
        <w:tabs>
          <w:tab w:val="clear" w:pos="708" w:leader="none"/>
          <w:tab w:val="left" w:pos="8080" w:leader="none"/>
        </w:tabs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tbl>
      <w:tblPr>
        <w:tblW w:w="10377" w:type="dxa"/>
        <w:tblInd w:w="-1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0"/>
        <w:gridCol w:w="2371"/>
        <w:gridCol w:w="1116"/>
        <w:gridCol w:w="1115"/>
        <w:gridCol w:w="1170"/>
        <w:gridCol w:w="1088"/>
        <w:gridCol w:w="1089"/>
        <w:gridCol w:w="996"/>
        <w:gridCol w:w="1001"/>
      </w:tblGrid>
      <w:tr>
        <w:tblPrEx/>
        <w:trPr>
          <w:trHeight w:val="5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Муниципальные образования Смоленской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10.07.2024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10.01.2025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ddebf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ед.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ddebf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%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ед.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%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 xml:space="preserve">Велижский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bCs/>
                <w:sz w:val="20"/>
                <w:szCs w:val="20"/>
                <w:highlight w:val="cyan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 xml:space="preserve">-5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 xml:space="preserve">-2,14%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 xml:space="preserve">12,25%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2 392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2 426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-3,46%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1,42%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округ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 xml:space="preserve">1 437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1504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bCs/>
                <w:sz w:val="20"/>
                <w:szCs w:val="20"/>
              </w:rPr>
              <w:t xml:space="preserve">1 429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-4,99%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-0,56%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7,06%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7,06%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284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290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-3,33%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2,11%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587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-1,89%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5,96%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округ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 xml:space="preserve">343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bCs/>
                <w:sz w:val="20"/>
                <w:szCs w:val="20"/>
              </w:rPr>
              <w:t xml:space="preserve">361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0,84%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5,25%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0,00%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11,34%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-6,02%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-2,34%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-0,41%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4,70%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374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-5,54%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0,27%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-1,03%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10,34%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-3,63%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1,64%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551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575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0,00%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4,36%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1 729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1798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1 750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-2,67%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1,21%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787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812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-1,34%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3,18%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1 550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1 570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-51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-3,15%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1,29%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2 628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2876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2 888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0,42%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9,89%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-2,83%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1,27%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0,70%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7,46%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-2,67%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3,66%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4,17%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13,07%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-3,98%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1,58%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-4,97%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-1,29%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1 687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1 733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-71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-3,94%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2,73%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Десногорск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543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-3,89%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0,56%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1"/>
              </w:num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г. Смоленск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19 867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20921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8f8f8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20 394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-527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9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-2,52%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527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2,65%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ind w:right="-147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Смоленской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37163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39269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38311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-958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-2,44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1148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3,07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621"/>
        <w:spacing w:before="0" w:after="120" w:line="24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*-прирост в % посчитан как среднее значение по Смоленской области</w:t>
      </w:r>
      <w:r>
        <w:rPr>
          <w:rFonts w:ascii="Times New Roman" w:hAnsi="Times New Roman" w:cs="Times New Roman"/>
          <w:b/>
          <w:i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10.07.2024 по 10.07.2025 число субъектов МСП увеличилось во всех муниципальных образованиях. Наибольший рост наблюдается в г. Смоленск +527 ед. или 2,67%, Смоленском округе +260 ед. или 9,89%;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Рославльском округе </w:t>
      </w:r>
      <w:r>
        <w:rPr>
          <w:rFonts w:ascii="Times New Roman" w:hAnsi="Times New Roman" w:cs="Times New Roman"/>
          <w:sz w:val="24"/>
          <w:szCs w:val="24"/>
        </w:rPr>
        <w:t xml:space="preserve">+46 ед. или 2,73%; Дорогобужском округе +35 ед. или 5,96%; Вяземском округе +34ед. или 1,42%.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снизилось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муниципальных образованиях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5 увеличилось, в 2 осталось неизменным.  В целом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количество субъектов МСП уменьшилось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958 единиц, средний процент снижения составил 2,44%. Наименьший процент снижения за истекший период -0,41%, наивысший – -6,02%.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21"/>
        <w:contextualSpacing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В целом по области с начала 2025 года количество субъектов МСП уменьшилось на 958  ед.. или  минус  2,44%, за год произошло увеличение на 1148 ед., или на 3,09%.</w:t>
      </w:r>
      <w:r/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на территории муниципального образования «Велижский муниципальный округ» Смоленской области с 10.07.2024г. по 10.07.2025г. увеличилось на 25 ед. или на 12,25%, с начала 2025 года число субъектов МСП в округе уменьшилось на 5 ед. или на 2,14%.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right="-1" w:firstLine="0"/>
        <w:jc w:val="right"/>
        <w:spacing w:before="0" w:after="0" w:line="240" w:lineRule="auto"/>
        <w:tabs>
          <w:tab w:val="clear" w:pos="708" w:leader="none"/>
          <w:tab w:val="left" w:pos="8080" w:leader="none"/>
        </w:tabs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p>
      <w:pPr>
        <w:pStyle w:val="621"/>
        <w:contextualSpacing/>
        <w:ind w:firstLine="709"/>
        <w:jc w:val="right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в разрезе категорий хозяйствующих субъектов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tbl>
      <w:tblPr>
        <w:tblW w:w="10264" w:type="dxa"/>
        <w:tblInd w:w="-1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6"/>
        <w:gridCol w:w="1116"/>
        <w:gridCol w:w="1116"/>
        <w:gridCol w:w="1115"/>
        <w:gridCol w:w="1329"/>
        <w:gridCol w:w="1153"/>
        <w:gridCol w:w="1153"/>
        <w:gridCol w:w="1154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МСП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10.07.2024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10.01.2025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e2f3" w:themeFill="accent1" w:themeFillTint="33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ед.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e2f3" w:themeFill="accent1" w:themeFillTint="33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%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ед.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2cc" w:themeFill="accent4" w:themeFillTint="3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%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Юридические лица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-2,63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малые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-1,25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-1,25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-4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-2,04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15,69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-2,05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15,76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малые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329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-5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53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2,14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153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12,25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т.ч. социальных предприятий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tcW w:w="115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июль 2025 года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«Велижский муниципальный округ»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уменьшилось на 1 ед. или 2,63%, количество ИП уменьшилось на 4 ед. или на 2,05 %.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10.07.2024г. по 10.07.2025г. количество юридических не изменилось, число индивидуальных предпринимателей увеличилось на 25 ед. или на 15,69%.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jc w:val="right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p>
      <w:pPr>
        <w:pStyle w:val="621"/>
        <w:contextualSpacing/>
        <w:jc w:val="right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район»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p>
      <w:pPr>
        <w:pStyle w:val="621"/>
        <w:contextualSpacing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6581775" cy="3640455"/>
            <wp:effectExtent l="0" t="0" r="0" b="0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</w:t>
      </w:r>
      <w:r>
        <w:rPr>
          <w:rFonts w:ascii="Times New Roman" w:hAnsi="Times New Roman" w:cs="Times New Roman"/>
          <w:sz w:val="24"/>
          <w:szCs w:val="24"/>
        </w:rPr>
        <w:t xml:space="preserve">ра субъектов малого и среднего предпринимательства, динамика прироста количества ИП и ЮЛ с 10 июля 2024 по 10 июля 2025 была значимо положительной за счет увеличения численности ИП. В силу специфики работы Единого реестра МСП в июле 2025 отмечено снижение.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</w:t>
      </w:r>
      <w:r>
        <w:rPr>
          <w:rFonts w:ascii="Times New Roman" w:hAnsi="Times New Roman" w:cs="Times New Roman"/>
          <w:sz w:val="24"/>
          <w:szCs w:val="24"/>
        </w:rPr>
        <w:t xml:space="preserve">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1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621"/>
        <w:contextualSpacing/>
        <w:ind w:firstLine="709"/>
        <w:jc w:val="right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621"/>
        <w:contextualSpacing/>
        <w:ind w:firstLine="709"/>
        <w:jc w:val="right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район» по видам деятельности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621"/>
        <w:contextualSpacing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>
        <w:drawing>
          <wp:inline distT="0" distB="0" distL="0" distR="0">
            <wp:extent cx="6504305" cy="3787140"/>
            <wp:effectExtent l="0" t="0" r="0" b="0"/>
            <wp:docPr id="2" name="Object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p>
      <w:pPr>
        <w:pStyle w:val="621"/>
        <w:contextualSpacing/>
        <w:jc w:val="right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p>
      <w:pPr>
        <w:pStyle w:val="621"/>
        <w:contextualSpacing/>
        <w:jc w:val="right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район» по видам деятельности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tbl>
      <w:tblPr>
        <w:tblW w:w="11062" w:type="dxa"/>
        <w:tblInd w:w="-856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8"/>
        <w:gridCol w:w="1024"/>
        <w:gridCol w:w="1133"/>
        <w:gridCol w:w="1316"/>
        <w:gridCol w:w="1060"/>
        <w:gridCol w:w="1000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ОКВЭД2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ОКВЭД*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10.01.2025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10.07.2025**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ед.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%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45 по 47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-9,76%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 и хранение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49 по 53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-2,78%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Сельское, лесное хозяйство, охота, рыболовство и рыбоводство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01 по 03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-7,41%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10 по 33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22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22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0%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41 по 43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27,27%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гостиниц и предприятий общественного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11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12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9,09%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по операциям с недвижимым имуществом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0%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профессиональная, научная и техническая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69 по 73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0,00%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 парикмахерскими и салонами красоты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-16.67%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-1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-33,33%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финансовая и страховая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0,00%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административная и сопутствующие дополнительные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77, 81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4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33,33%</w:t>
            </w:r>
            <w:r>
              <w:rPr>
                <w:rFonts w:ascii="Calibri" w:hAnsi="Calibri" w:cs="Calibri"/>
                <w:b/>
                <w:bCs/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Водоснабжение; водоотведение, организация сбора и утилизации отходов, деятельность по ликвидации загрязнений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36 по 38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-33,33%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0,00%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в области здравоохранения и социальных услуг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 86 по 88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0,00%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в области информации и связи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33,33%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прочих видов услуг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0,00%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-2,14%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pStyle w:val="621"/>
        <w:jc w:val="both"/>
        <w:spacing w:before="0" w:after="0" w:line="240" w:lineRule="auto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 xml:space="preserve">*В пустых ячейках проставить ОКВЭД самостоятельно и суммарно отнести в «Прочие виды деятельности».</w:t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621"/>
        <w:jc w:val="both"/>
        <w:spacing w:before="0" w:after="0" w:line="240" w:lineRule="auto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 xml:space="preserve">** Сортировка столбца по убыванию значений.</w:t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658"/>
        <w:contextualSpacing/>
        <w:ind w:left="1069" w:firstLine="0"/>
        <w:jc w:val="both"/>
        <w:spacing w:before="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Единого реестра СМСП в муниципальном образовании «Велижский район» отмечается увеличение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числа занятых субъектов МСП с начала года в таких отраслях, как: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строительство (+6 ед., +27,27%);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деятельность гостиниц и предприятий общественного питания (+1ед., +9,09%);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 административная и сопутствующие дополнительные услуги (+1ед., 33,33%);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в области информации и связи (+1ед., 33,33%).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7 видам экономической деятельности наблюдается отсутствие динамики, по 6 – отрицательная динамика.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center"/>
        <w:spacing w:before="0"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1"/>
        <w:contextualSpacing/>
        <w:jc w:val="right"/>
        <w:spacing w:before="0"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10343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4"/>
        <w:gridCol w:w="709"/>
        <w:gridCol w:w="708"/>
        <w:gridCol w:w="708"/>
        <w:gridCol w:w="850"/>
        <w:gridCol w:w="2"/>
        <w:gridCol w:w="895"/>
        <w:gridCol w:w="803"/>
        <w:gridCol w:w="2"/>
        <w:gridCol w:w="895"/>
        <w:gridCol w:w="804"/>
        <w:gridCol w:w="2"/>
        <w:gridCol w:w="894"/>
        <w:gridCol w:w="665"/>
      </w:tblGrid>
      <w:tr>
        <w:tblPrEx/>
        <w:trPr>
          <w:trHeight w:val="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Количество, ед.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к 2022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 к 2023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 к 2024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10.01.2023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10.01.2024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10.01.2025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2025*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Прирост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Прирост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Прирост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3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Количество вновь созданных субъектов МСП,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-6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-16,6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85,71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-16,6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82,14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Юр. лица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7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04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08" w:right="-79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pStyle w:val="621"/>
        <w:ind w:left="1069" w:firstLine="0"/>
        <w:jc w:val="both"/>
        <w:spacing w:before="0"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* По состоянию на каждое 10-е число месяца текущего года</w:t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10"/>
          <w:szCs w:val="10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 данным ФНС в Смоленской области по состоянию на 10.07.2024г. было зарегистрировано 21 вновь созданных субъектов МСП, на 10.07.2025г. – 27 (+6 ед., или +28,57%), структура вновь созданных субъектов МСП не изменилась.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10"/>
          <w:szCs w:val="10"/>
        </w:rPr>
      </w:r>
    </w:p>
    <w:p>
      <w:pPr>
        <w:pStyle w:val="621"/>
        <w:contextualSpacing/>
        <w:jc w:val="right"/>
        <w:spacing w:before="0"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</w:t>
      </w:r>
      <w:r>
        <w:rPr>
          <w:rFonts w:ascii="Times New Roman" w:hAnsi="Times New Roman" w:cs="Times New Roman"/>
          <w:b/>
          <w:bCs/>
          <w:sz w:val="20"/>
          <w:szCs w:val="24"/>
        </w:rPr>
      </w:r>
    </w:p>
    <w:p>
      <w:pPr>
        <w:pStyle w:val="621"/>
        <w:contextualSpacing/>
        <w:jc w:val="right"/>
        <w:spacing w:before="0"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по видам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662"/>
        <w:tblW w:w="10373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3"/>
        <w:gridCol w:w="1071"/>
        <w:gridCol w:w="929"/>
        <w:gridCol w:w="1069"/>
        <w:gridCol w:w="992"/>
        <w:gridCol w:w="1070"/>
        <w:gridCol w:w="1278"/>
      </w:tblGrid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Вновь созданные субъекты МСП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ind w:left="-186" w:right="-210" w:firstLine="0"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ОКВЭД*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86" w:right="-210" w:firstLine="0"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10.07.2024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86" w:right="-210" w:firstLine="0"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Доля от общего количества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86" w:right="-210" w:firstLine="0"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10.07.2025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86" w:right="-210" w:firstLine="0"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Доля от общего количества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ind w:left="-186" w:right="-210" w:firstLine="0"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Прирост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45-47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38,1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29,63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Строительство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41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43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9,52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29,63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Транспортировка и хранение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49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9,52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7,41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 xml:space="preserve">(деятельность в области: права и бух.учета, рекламы, фотографии, перевода,дизайна)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71,73,74,69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4,77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3,7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481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Деятельность в области информации и связи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62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. 63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</w:r>
          </w:p>
        </w:tc>
        <w:tc>
          <w:tcPr>
            <w:shd w:val="clear" w:color="auto" w:fill="auto"/>
            <w:tcW w:w="1069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7,41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Сельское, лесное хозяйство, охота, рыболовство и рыбоводство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01,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19,05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3,7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-3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Обрабатывающие производства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10. 16.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22. 31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9,52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7,41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Деятельность гостиниц и предприятий общественного питания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55, 56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9,52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7,41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vAlign w:val="bottom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Деятельность административная и сопутствующие дополнительные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77, 82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106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Calibri"/>
                <w:bCs/>
                <w:color w:val="000000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1070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3,7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963" w:type="dxa"/>
            <w:textDirection w:val="lrTb"/>
            <w:noWrap w:val="false"/>
          </w:tcPr>
          <w:p>
            <w:pPr>
              <w:pStyle w:val="621"/>
              <w:contextualSpacing/>
              <w:jc w:val="both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071" w:type="dxa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92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69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070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W w:w="1278" w:type="dxa"/>
            <w:vAlign w:val="center"/>
            <w:textDirection w:val="lrTb"/>
            <w:noWrap w:val="false"/>
          </w:tcPr>
          <w:p>
            <w:pPr>
              <w:pStyle w:val="621"/>
              <w:contextualSpacing/>
              <w:jc w:val="center"/>
              <w:spacing w:before="0" w:after="160" w:line="240" w:lineRule="auto"/>
              <w:shd w:val="clear" w:color="auto" w:fill="ffffff" w:themeFill="background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</w:tbl>
    <w:p>
      <w:pPr>
        <w:pStyle w:val="621"/>
        <w:jc w:val="both"/>
        <w:spacing w:before="0"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* проставляется самостоятельно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 таблицы видно, что 10.07.2025г. по сравнению с 10.07.2024г. среди субъектов МСП открыто больше предприятий в сферах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строительство (8 вместо2; </w:t>
      </w:r>
      <w:r>
        <w:rPr>
          <w:rFonts w:ascii="Times New Roman" w:hAnsi="Times New Roman"/>
          <w:bCs/>
          <w:sz w:val="24"/>
          <w:szCs w:val="24"/>
        </w:rPr>
        <w:t xml:space="preserve">Деятельность административная и сопутствующие дополнительные услуги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(1 вместо 0); </w:t>
      </w:r>
      <w:r>
        <w:rPr>
          <w:rFonts w:ascii="Times New Roman" w:hAnsi="Times New Roman"/>
          <w:bCs/>
        </w:rPr>
        <w:t xml:space="preserve">деятельность в области информации и связи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(2 вместо 0). Вместе с тем было открыто меньше субъектов МСП в сфере</w:t>
      </w:r>
      <w:r>
        <w:rPr>
          <w:rFonts w:ascii="Times New Roman" w:hAnsi="Times New Roman"/>
          <w:sz w:val="24"/>
          <w:szCs w:val="24"/>
        </w:rPr>
        <w:t xml:space="preserve"> сельское, лесное хозяйство, охота, рыболовство и рыбоводство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обрабатывающих производств (1 вместо 4).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621"/>
        <w:contextualSpacing/>
        <w:ind w:firstLine="709"/>
        <w:jc w:val="center"/>
        <w:spacing w:before="0"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1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1"/>
        <w:contextualSpacing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10.0</w:t>
      </w:r>
      <w:r>
        <w:rPr>
          <w:rFonts w:ascii="Times New Roman" w:hAnsi="Times New Roman" w:cs="Times New Roman"/>
          <w:sz w:val="24"/>
          <w:szCs w:val="24"/>
        </w:rPr>
        <w:t xml:space="preserve">7.2024г. по 10.07.2025г. динамика количества субъектов МСП, осуществляющих деятельность в Велижском районе, соответствовала тенденциям других районов Смоленской области. За указанный период в Велижском районе численность субъектов МСП увеличилось на 25 ед.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2025 года количество зарегистрированных субъектов МСП в Велижсом р</w:t>
      </w:r>
      <w:r>
        <w:rPr>
          <w:rFonts w:ascii="Times New Roman" w:hAnsi="Times New Roman" w:cs="Times New Roman"/>
          <w:sz w:val="24"/>
          <w:szCs w:val="24"/>
        </w:rPr>
        <w:t xml:space="preserve">айоне районе уменьшилось на 5 ед.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37 до 40 юридических лиц и от 167 до 199 индивидуальных предпринимателя.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</w:t>
      </w:r>
      <w:r>
        <w:rPr>
          <w:rFonts w:ascii="Times New Roman" w:hAnsi="Times New Roman" w:cs="Times New Roman"/>
          <w:sz w:val="24"/>
          <w:szCs w:val="24"/>
        </w:rPr>
        <w:t xml:space="preserve">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>
        <w:rPr>
          <w:rFonts w:ascii="Times New Roman" w:hAnsi="Times New Roman" w:cs="Times New Roman"/>
          <w:sz w:val="24"/>
          <w:szCs w:val="24"/>
        </w:rPr>
        <w:t xml:space="preserve"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</w:t>
      </w:r>
      <w:r>
        <w:rPr>
          <w:rFonts w:ascii="Times New Roman" w:hAnsi="Times New Roman" w:cs="Times New Roman"/>
          <w:sz w:val="24"/>
          <w:szCs w:val="24"/>
        </w:rPr>
        <w:t xml:space="preserve">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10.06.2025 по 10.07.2025 в Едины реестр включены 4 вновь созданных субъектов МСП, в том числе по видам деятельности: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(строительство): 1;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(</w:t>
      </w:r>
      <w:r>
        <w:rPr>
          <w:rFonts w:ascii="Times New Roman" w:hAnsi="Times New Roman"/>
          <w:bCs/>
          <w:sz w:val="24"/>
          <w:szCs w:val="24"/>
        </w:rPr>
        <w:t xml:space="preserve"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): 1;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ИП (</w:t>
      </w:r>
      <w:r>
        <w:rPr>
          <w:rFonts w:ascii="Times New Roman" w:hAnsi="Times New Roman"/>
        </w:rPr>
        <w:t xml:space="preserve">Торговля оптовая и розничная; ремонт автотранспортных средств и мотоциклов): 1;</w:t>
      </w:r>
      <w:r>
        <w:rPr>
          <w:rFonts w:ascii="Times New Roman" w:hAnsi="Times New Roman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(</w:t>
      </w:r>
      <w:r>
        <w:rPr>
          <w:rFonts w:ascii="Times New Roman" w:hAnsi="Times New Roman"/>
          <w:bCs/>
          <w:sz w:val="24"/>
          <w:szCs w:val="24"/>
        </w:rPr>
        <w:t xml:space="preserve">Деятельность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): 1.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both"/>
        <w:spacing w:before="0"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период с 10.07.2025 по 10.07.2025 из реестра исключено 14 субъекта МСП: 2 ООО и 12 ИП, в том числе по видам деятельности: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1"/>
        <w:ind w:firstLine="708"/>
        <w:jc w:val="both"/>
        <w:spacing w:before="0"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ИП (</w:t>
      </w:r>
      <w:r>
        <w:rPr>
          <w:rFonts w:ascii="Times New Roman" w:hAnsi="Times New Roman"/>
        </w:rPr>
        <w:t xml:space="preserve">Торговля оптовая и розничная; ремонт автотранспортных средств и мотоциклов): 7 единиц (1 ликвидирован, 6 не предоставлена отчетность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);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): 2 </w:t>
      </w:r>
      <w:r>
        <w:rPr>
          <w:rFonts w:ascii="Times New Roman" w:hAnsi="Times New Roman"/>
        </w:rPr>
        <w:t xml:space="preserve">( 1 ООО и 1 ИП не предоставлена отчетность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);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(строительство): 1 (ликвидирован);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(Обрабатывающие производства ) 1</w:t>
      </w:r>
      <w:r>
        <w:rPr>
          <w:rFonts w:ascii="Times New Roman" w:hAnsi="Times New Roman"/>
        </w:rPr>
        <w:t xml:space="preserve"> (не предоставлена отчетность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);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(Обеспечение электрической энергией, газом и паром; кондиционирование воздуха): 1</w:t>
      </w:r>
      <w:r>
        <w:rPr>
          <w:rFonts w:ascii="Times New Roman" w:hAnsi="Times New Roman"/>
        </w:rPr>
        <w:t xml:space="preserve"> (не предоставлена отчетность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(Водоснабжение; водоотведение, организация сбора и утилизации отходов, деятельность по ликвидации загрязнений): 1 (ликвидирован);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(</w:t>
      </w:r>
      <w:r>
        <w:rPr>
          <w:rFonts w:ascii="Times New Roman" w:hAnsi="Times New Roman"/>
          <w:bCs/>
          <w:sz w:val="24"/>
          <w:szCs w:val="24"/>
        </w:rPr>
        <w:t xml:space="preserve">Деятельность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) 1</w:t>
      </w:r>
      <w:r>
        <w:rPr>
          <w:rFonts w:ascii="Times New Roman" w:hAnsi="Times New Roman"/>
        </w:rPr>
        <w:t xml:space="preserve"> (не предоставлена отчетность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);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1"/>
        <w:contextualSpacing/>
        <w:ind w:firstLine="709"/>
        <w:jc w:val="both"/>
        <w:spacing w:before="0"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566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Microsoft YaHei">
    <w:panose1 w:val="020F0502020204030204"/>
  </w:font>
  <w:font w:name="Times New Roman">
    <w:panose1 w:val="02020603050405020304"/>
  </w:font>
  <w:font w:name="Tahoma">
    <w:panose1 w:val="020B05060306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54"/>
    <w:uiPriority w:val="99"/>
  </w:style>
  <w:style w:type="character" w:styleId="45">
    <w:name w:val="Footer Char"/>
    <w:basedOn w:val="622"/>
    <w:link w:val="655"/>
    <w:uiPriority w:val="99"/>
  </w:style>
  <w:style w:type="character" w:styleId="47">
    <w:name w:val="Caption Char"/>
    <w:basedOn w:val="652"/>
    <w:link w:val="655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22" w:default="1">
    <w:name w:val="Default Paragraph Font"/>
    <w:uiPriority w:val="1"/>
    <w:semiHidden/>
    <w:unhideWhenUsed/>
    <w:qFormat/>
  </w:style>
  <w:style w:type="character" w:styleId="623" w:customStyle="1">
    <w:name w:val="Верхний колонтитул Знак"/>
    <w:basedOn w:val="622"/>
    <w:uiPriority w:val="99"/>
    <w:qFormat/>
  </w:style>
  <w:style w:type="character" w:styleId="624" w:customStyle="1">
    <w:name w:val="Нижний колонтитул Знак"/>
    <w:basedOn w:val="622"/>
    <w:uiPriority w:val="99"/>
    <w:qFormat/>
  </w:style>
  <w:style w:type="character" w:styleId="625">
    <w:name w:val="annotation reference"/>
    <w:basedOn w:val="622"/>
    <w:uiPriority w:val="99"/>
    <w:semiHidden/>
    <w:unhideWhenUsed/>
    <w:qFormat/>
    <w:rPr>
      <w:sz w:val="16"/>
      <w:szCs w:val="16"/>
    </w:rPr>
  </w:style>
  <w:style w:type="character" w:styleId="626" w:customStyle="1">
    <w:name w:val="Текст примечания Знак"/>
    <w:basedOn w:val="622"/>
    <w:uiPriority w:val="99"/>
    <w:semiHidden/>
    <w:qFormat/>
    <w:rPr>
      <w:sz w:val="20"/>
      <w:szCs w:val="20"/>
    </w:rPr>
  </w:style>
  <w:style w:type="character" w:styleId="627" w:customStyle="1">
    <w:name w:val="Тема примечания Знак"/>
    <w:basedOn w:val="626"/>
    <w:uiPriority w:val="99"/>
    <w:semiHidden/>
    <w:qFormat/>
    <w:rPr>
      <w:b/>
      <w:bCs/>
      <w:sz w:val="20"/>
      <w:szCs w:val="20"/>
    </w:rPr>
  </w:style>
  <w:style w:type="character" w:styleId="628" w:customStyle="1">
    <w:name w:val="Текст выноски Знак"/>
    <w:basedOn w:val="622"/>
    <w:uiPriority w:val="99"/>
    <w:semiHidden/>
    <w:qFormat/>
    <w:rPr>
      <w:rFonts w:ascii="Tahoma" w:hAnsi="Tahoma" w:cs="Tahoma"/>
      <w:sz w:val="16"/>
      <w:szCs w:val="16"/>
    </w:rPr>
  </w:style>
  <w:style w:type="character" w:styleId="629">
    <w:name w:val="ListLabel 1"/>
    <w:qFormat/>
    <w:rPr>
      <w:rFonts w:eastAsia="Calibri" w:cs="Times New Roman"/>
    </w:rPr>
  </w:style>
  <w:style w:type="character" w:styleId="630">
    <w:name w:val="ListLabel 2"/>
    <w:qFormat/>
    <w:rPr>
      <w:rFonts w:cs="Courier New"/>
    </w:rPr>
  </w:style>
  <w:style w:type="character" w:styleId="631">
    <w:name w:val="ListLabel 3"/>
    <w:qFormat/>
    <w:rPr>
      <w:rFonts w:cs="Courier New"/>
    </w:rPr>
  </w:style>
  <w:style w:type="character" w:styleId="632">
    <w:name w:val="ListLabel 4"/>
    <w:qFormat/>
    <w:rPr>
      <w:rFonts w:cs="Courier New"/>
    </w:rPr>
  </w:style>
  <w:style w:type="character" w:styleId="633">
    <w:name w:val="ListLabel 5"/>
    <w:qFormat/>
    <w:rPr>
      <w:rFonts w:eastAsia="Calibri" w:cs="Times New Roman"/>
    </w:rPr>
  </w:style>
  <w:style w:type="character" w:styleId="634">
    <w:name w:val="ListLabel 6"/>
    <w:qFormat/>
    <w:rPr>
      <w:rFonts w:cs="Courier New"/>
    </w:rPr>
  </w:style>
  <w:style w:type="character" w:styleId="635">
    <w:name w:val="ListLabel 7"/>
    <w:qFormat/>
    <w:rPr>
      <w:rFonts w:cs="Courier New"/>
    </w:rPr>
  </w:style>
  <w:style w:type="character" w:styleId="636">
    <w:name w:val="ListLabel 8"/>
    <w:qFormat/>
    <w:rPr>
      <w:rFonts w:cs="Courier New"/>
    </w:rPr>
  </w:style>
  <w:style w:type="character" w:styleId="637">
    <w:name w:val="ListLabel 9"/>
    <w:qFormat/>
    <w:rPr>
      <w:rFonts w:eastAsia="Calibri" w:cs="Times New Roman"/>
    </w:rPr>
  </w:style>
  <w:style w:type="character" w:styleId="638">
    <w:name w:val="ListLabel 10"/>
    <w:qFormat/>
    <w:rPr>
      <w:rFonts w:cs="Courier New"/>
    </w:rPr>
  </w:style>
  <w:style w:type="character" w:styleId="639">
    <w:name w:val="ListLabel 11"/>
    <w:qFormat/>
    <w:rPr>
      <w:rFonts w:cs="Courier New"/>
    </w:rPr>
  </w:style>
  <w:style w:type="character" w:styleId="640">
    <w:name w:val="ListLabel 12"/>
    <w:qFormat/>
    <w:rPr>
      <w:rFonts w:cs="Courier New"/>
    </w:rPr>
  </w:style>
  <w:style w:type="character" w:styleId="641">
    <w:name w:val="ListLabel 13"/>
    <w:qFormat/>
    <w:rPr>
      <w:rFonts w:eastAsia="Calibri" w:cs="Times New Roman"/>
    </w:rPr>
  </w:style>
  <w:style w:type="character" w:styleId="642">
    <w:name w:val="ListLabel 14"/>
    <w:qFormat/>
    <w:rPr>
      <w:rFonts w:cs="Courier New"/>
    </w:rPr>
  </w:style>
  <w:style w:type="character" w:styleId="643">
    <w:name w:val="ListLabel 15"/>
    <w:qFormat/>
    <w:rPr>
      <w:rFonts w:cs="Courier New"/>
    </w:rPr>
  </w:style>
  <w:style w:type="character" w:styleId="644">
    <w:name w:val="ListLabel 16"/>
    <w:qFormat/>
    <w:rPr>
      <w:rFonts w:cs="Courier New"/>
    </w:rPr>
  </w:style>
  <w:style w:type="character" w:styleId="645">
    <w:name w:val="ListLabel 17"/>
    <w:qFormat/>
    <w:rPr>
      <w:rFonts w:eastAsia="Calibri" w:cs="Times New Roman"/>
    </w:rPr>
  </w:style>
  <w:style w:type="character" w:styleId="646">
    <w:name w:val="ListLabel 18"/>
    <w:qFormat/>
    <w:rPr>
      <w:rFonts w:cs="Courier New"/>
    </w:rPr>
  </w:style>
  <w:style w:type="character" w:styleId="647">
    <w:name w:val="ListLabel 19"/>
    <w:qFormat/>
    <w:rPr>
      <w:rFonts w:cs="Courier New"/>
    </w:rPr>
  </w:style>
  <w:style w:type="character" w:styleId="648">
    <w:name w:val="ListLabel 20"/>
    <w:qFormat/>
    <w:rPr>
      <w:rFonts w:cs="Courier New"/>
    </w:rPr>
  </w:style>
  <w:style w:type="paragraph" w:styleId="649">
    <w:name w:val="Heading"/>
    <w:basedOn w:val="621"/>
    <w:next w:val="650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650">
    <w:name w:val="Body Text"/>
    <w:basedOn w:val="621"/>
    <w:pPr>
      <w:spacing w:before="0" w:after="140" w:line="276" w:lineRule="auto"/>
    </w:pPr>
  </w:style>
  <w:style w:type="paragraph" w:styleId="651">
    <w:name w:val="List"/>
    <w:basedOn w:val="650"/>
    <w:rPr>
      <w:rFonts w:cs="Arial"/>
    </w:rPr>
  </w:style>
  <w:style w:type="paragraph" w:styleId="652">
    <w:name w:val="Caption"/>
    <w:basedOn w:val="62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53">
    <w:name w:val="Index"/>
    <w:basedOn w:val="621"/>
    <w:qFormat/>
    <w:pPr>
      <w:suppressLineNumbers/>
    </w:pPr>
    <w:rPr>
      <w:rFonts w:cs="Arial"/>
    </w:rPr>
  </w:style>
  <w:style w:type="paragraph" w:styleId="654">
    <w:name w:val="Head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55">
    <w:name w:val="Foot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56">
    <w:name w:val="annotation text"/>
    <w:basedOn w:val="62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657">
    <w:name w:val="annotation subject"/>
    <w:basedOn w:val="656"/>
    <w:next w:val="656"/>
    <w:uiPriority w:val="99"/>
    <w:semiHidden/>
    <w:unhideWhenUsed/>
    <w:qFormat/>
    <w:rPr>
      <w:b/>
      <w:bCs/>
    </w:rPr>
  </w:style>
  <w:style w:type="paragraph" w:styleId="658">
    <w:name w:val="List Paragraph"/>
    <w:basedOn w:val="621"/>
    <w:uiPriority w:val="34"/>
    <w:qFormat/>
    <w:pPr>
      <w:contextualSpacing/>
      <w:ind w:left="720" w:firstLine="0"/>
      <w:spacing w:before="0" w:after="160"/>
    </w:pPr>
  </w:style>
  <w:style w:type="paragraph" w:styleId="659">
    <w:name w:val="Balloon Text"/>
    <w:basedOn w:val="621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660" w:default="1">
    <w:name w:val="No List"/>
    <w:uiPriority w:val="99"/>
    <w:semiHidden/>
    <w:unhideWhenUsed/>
    <w:qFormat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62">
    <w:name w:val="Table Grid"/>
    <w:basedOn w:val="66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/Relationships>
</file>

<file path=word/charts/_rels/chart2.xml.rels><?xml version="1.0" encoding="UTF-8" standalone="yes"?><Relationships xmlns="http://schemas.openxmlformats.org/package/2006/relationships"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>
        <c:manualLayout>
          <c:layoutTarget val="inner"/>
          <c:xMode val="edge"/>
          <c:yMode val="edge"/>
          <c:x val="0.058313"/>
          <c:y val="0.039444"/>
          <c:w val="0.941625"/>
          <c:h val="0.613556"/>
        </c:manualLayout>
      </c:layout>
      <c:lineChart>
        <c:grouping val="standard"/>
        <c:varyColors val="0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 xml:space="preserve">Юридические лица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4472C4"/>
            </a:solidFill>
            <a:ln w="28440">
              <a:solidFill>
                <a:srgbClr val="4472C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rgbClr val="4472C4"/>
              </a:solidFill>
            </c:spPr>
          </c:marker>
          <c:dLbls>
            <c:dLblPos val="t"/>
            <c:numFmt formatCode="General" sourceLinked="1"/>
            <c:separator xml:space="preserve">;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/>
              </a:p>
            </c:txPr>
          </c:dLbls>
          <c:cat>
            <c:strRef>
              <c:f>categories</c:f>
              <c:strCache>
                <c:ptCount val="35"/>
                <c:pt idx="0">
                  <c:v>7/10/2024</c:v>
                </c:pt>
                <c:pt idx="1">
                  <c:v>8/10/2024</c:v>
                </c:pt>
                <c:pt idx="2">
                  <c:v>9/10/2024</c:v>
                </c:pt>
                <c:pt idx="3">
                  <c:v>10/10/2024</c:v>
                </c:pt>
                <c:pt idx="4">
                  <c:v>10/10/2024</c:v>
                </c:pt>
                <c:pt idx="5">
                  <c:v>11/10/2024</c:v>
                </c:pt>
                <c:pt idx="6">
                  <c:v>12/10/2024</c:v>
                </c:pt>
                <c:pt idx="7">
                  <c:v>1/10/2025</c:v>
                </c:pt>
                <c:pt idx="8">
                  <c:v>2/10/2025</c:v>
                </c:pt>
                <c:pt idx="9">
                  <c:v>3/10/2025</c:v>
                </c:pt>
                <c:pt idx="10">
                  <c:v>4/10/2025</c:v>
                </c:pt>
                <c:pt idx="11">
                  <c:v>5/10/2025</c:v>
                </c:pt>
                <c:pt idx="12">
                  <c:v>6/10/2025</c:v>
                </c:pt>
                <c:pt idx="13">
                  <c:v>7/10/2025</c:v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  <c:pt idx="18">
                  <c:v/>
                </c:pt>
                <c:pt idx="19">
                  <c:v/>
                </c:pt>
                <c:pt idx="20">
                  <c:v/>
                </c:pt>
                <c:pt idx="21">
                  <c:v/>
                </c:pt>
                <c:pt idx="22">
                  <c:v/>
                </c:pt>
                <c:pt idx="23">
                  <c:v/>
                </c:pt>
                <c:pt idx="24">
                  <c:v/>
                </c:pt>
                <c:pt idx="25">
                  <c:v/>
                </c:pt>
                <c:pt idx="26">
                  <c:v/>
                </c:pt>
                <c:pt idx="27">
                  <c:v/>
                </c:pt>
                <c:pt idx="28">
                  <c:v/>
                </c:pt>
                <c:pt idx="29">
                  <c:v/>
                </c:pt>
                <c:pt idx="30">
                  <c:v/>
                </c:pt>
                <c:pt idx="31">
                  <c:v/>
                </c:pt>
                <c:pt idx="32">
                  <c:v/>
                </c:pt>
                <c:pt idx="33">
                  <c:v/>
                </c:pt>
                <c:pt idx="34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35"/>
                <c:pt idx="0">
                  <c:v>37</c:v>
                </c:pt>
                <c:pt idx="1">
                  <c:v>37</c:v>
                </c:pt>
                <c:pt idx="2">
                  <c:v>37</c:v>
                </c:pt>
                <c:pt idx="3">
                  <c:v>38</c:v>
                </c:pt>
                <c:pt idx="4">
                  <c:v>38</c:v>
                </c:pt>
                <c:pt idx="5">
                  <c:v>39</c:v>
                </c:pt>
                <c:pt idx="6">
                  <c:v>39</c:v>
                </c:pt>
                <c:pt idx="7">
                  <c:v>38</c:v>
                </c:pt>
                <c:pt idx="8">
                  <c:v>38</c:v>
                </c:pt>
                <c:pt idx="9">
                  <c:v>40</c:v>
                </c:pt>
                <c:pt idx="10">
                  <c:v>39</c:v>
                </c:pt>
                <c:pt idx="11">
                  <c:v>39</c:v>
                </c:pt>
                <c:pt idx="12">
                  <c:v>39</c:v>
                </c:pt>
                <c:pt idx="13">
                  <c:v>37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 xml:space="preserve">label 1</c:f>
              <c:strCache>
                <c:ptCount val="1"/>
                <c:pt idx="0">
                  <c:v xml:space="preserve">Индивидуальные предприниматели</c:v>
                </c:pt>
              </c:strCache>
            </c:strRef>
          </c:tx>
          <c:spPr bwMode="auto">
            <a:prstGeom prst="rect">
              <a:avLst/>
            </a:prstGeom>
            <a:solidFill>
              <a:srgbClr val="ED7D31"/>
            </a:solidFill>
            <a:ln w="28440">
              <a:solidFill>
                <a:srgbClr val="ED7D3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rgbClr val="ED7D31"/>
              </a:solidFill>
            </c:spPr>
          </c:marker>
          <c:dLbls>
            <c:dLblPos val="t"/>
            <c:numFmt formatCode="General" sourceLinked="1"/>
            <c:separator xml:space="preserve">;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/>
              </a:p>
            </c:txPr>
          </c:dLbls>
          <c:cat>
            <c:strRef>
              <c:f>categories</c:f>
              <c:strCache>
                <c:ptCount val="35"/>
                <c:pt idx="0">
                  <c:v>7/10/2024</c:v>
                </c:pt>
                <c:pt idx="1">
                  <c:v>8/10/2024</c:v>
                </c:pt>
                <c:pt idx="2">
                  <c:v>9/10/2024</c:v>
                </c:pt>
                <c:pt idx="3">
                  <c:v>10/10/2024</c:v>
                </c:pt>
                <c:pt idx="4">
                  <c:v>10/10/2024</c:v>
                </c:pt>
                <c:pt idx="5">
                  <c:v>11/10/2024</c:v>
                </c:pt>
                <c:pt idx="6">
                  <c:v>12/10/2024</c:v>
                </c:pt>
                <c:pt idx="7">
                  <c:v>1/10/2025</c:v>
                </c:pt>
                <c:pt idx="8">
                  <c:v>2/10/2025</c:v>
                </c:pt>
                <c:pt idx="9">
                  <c:v>3/10/2025</c:v>
                </c:pt>
                <c:pt idx="10">
                  <c:v>4/10/2025</c:v>
                </c:pt>
                <c:pt idx="11">
                  <c:v>5/10/2025</c:v>
                </c:pt>
                <c:pt idx="12">
                  <c:v>6/10/2025</c:v>
                </c:pt>
                <c:pt idx="13">
                  <c:v>7/10/2025</c:v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  <c:pt idx="18">
                  <c:v/>
                </c:pt>
                <c:pt idx="19">
                  <c:v/>
                </c:pt>
                <c:pt idx="20">
                  <c:v/>
                </c:pt>
                <c:pt idx="21">
                  <c:v/>
                </c:pt>
                <c:pt idx="22">
                  <c:v/>
                </c:pt>
                <c:pt idx="23">
                  <c:v/>
                </c:pt>
                <c:pt idx="24">
                  <c:v/>
                </c:pt>
                <c:pt idx="25">
                  <c:v/>
                </c:pt>
                <c:pt idx="26">
                  <c:v/>
                </c:pt>
                <c:pt idx="27">
                  <c:v/>
                </c:pt>
                <c:pt idx="28">
                  <c:v/>
                </c:pt>
                <c:pt idx="29">
                  <c:v/>
                </c:pt>
                <c:pt idx="30">
                  <c:v/>
                </c:pt>
                <c:pt idx="31">
                  <c:v/>
                </c:pt>
                <c:pt idx="32">
                  <c:v/>
                </c:pt>
                <c:pt idx="33">
                  <c:v/>
                </c:pt>
                <c:pt idx="34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35"/>
                <c:pt idx="0">
                  <c:v>167</c:v>
                </c:pt>
                <c:pt idx="1">
                  <c:v>177</c:v>
                </c:pt>
                <c:pt idx="2">
                  <c:v>185</c:v>
                </c:pt>
                <c:pt idx="3">
                  <c:v>189</c:v>
                </c:pt>
                <c:pt idx="4">
                  <c:v>189</c:v>
                </c:pt>
                <c:pt idx="5">
                  <c:v>194</c:v>
                </c:pt>
                <c:pt idx="6">
                  <c:v>198</c:v>
                </c:pt>
                <c:pt idx="7">
                  <c:v>196</c:v>
                </c:pt>
                <c:pt idx="8">
                  <c:v>195</c:v>
                </c:pt>
                <c:pt idx="9">
                  <c:v>198</c:v>
                </c:pt>
                <c:pt idx="10">
                  <c:v>199</c:v>
                </c:pt>
                <c:pt idx="11">
                  <c:v>198</c:v>
                </c:pt>
                <c:pt idx="12">
                  <c:v>199</c:v>
                </c:pt>
                <c:pt idx="13">
                  <c:v>192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  <c:smooth val="0"/>
        </c:ser>
        <c:dLbls>
          <c:showBubbleSize val="0"/>
          <c:showCatName val="0"/>
          <c:showLegendKey val="0"/>
          <c:showPercent val="0"/>
          <c:showSerName val="0"/>
          <c:showVal val="0"/>
        </c:dLbls>
        <c:hiLowLines>
          <c:spPr bwMode="auto">
            <a:prstGeom prst="rect">
              <a:avLst/>
            </a:prstGeom>
            <a:ln>
              <a:noFill/>
            </a:ln>
          </c:spPr>
        </c:hiLowLines>
        <c:marker val="1"/>
        <c:smooth val="0"/>
        <c:axId val="75983297"/>
        <c:axId val="56390190"/>
      </c:lineChart>
      <c:catAx>
        <c:axId val="75983297"/>
        <c:scaling>
          <c:orientation val="minMax"/>
          <c:max val="45848.000000"/>
          <c:min val="45483.000000"/>
        </c:scaling>
        <c:delete val="0"/>
        <c:axPos val="b"/>
        <c:numFmt formatCode="[$-419]DD/MM/YYYY" sourceLinked="1"/>
        <c:majorTickMark val="out"/>
        <c:minorTickMark val="none"/>
        <c:tickLblPos val="nextTo"/>
        <c:spPr bwMode="auto">
          <a:prstGeom prst="rect">
            <a:avLst/>
          </a:prstGeom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/>
          </a:p>
        </c:txPr>
        <c:crossAx val="56390190"/>
        <c:crosses val="autoZero"/>
        <c:auto val="1"/>
        <c:lblAlgn val="ctr"/>
        <c:lblOffset val="100"/>
        <c:noMultiLvlLbl val="0"/>
      </c:catAx>
      <c:valAx>
        <c:axId val="5639019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 bwMode="auto">
          <a:prstGeom prst="rect">
            <a:avLst/>
          </a:prstGeom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/>
          </a:p>
        </c:txPr>
        <c:crossAx val="75983297"/>
        <c:crosses val="autoZero"/>
        <c:crossBetween val="midCat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/>
        </a:p>
      </c:txPr>
    </c:legend>
    <c:plotVisOnly val="1"/>
    <c:dispBlanksAs val="gap"/>
    <c:showDLblsOverMax val="0"/>
  </c:chart>
  <c:spPr bwMode="auto"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sz="1400" b="0" strike="noStrike" spc="-1">
                <a:solidFill>
                  <a:srgbClr val="595959"/>
                </a:solidFill>
                <a:latin typeface="Calibri"/>
              </a:rPr>
              <a:t> 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39625"/>
          <c:y val="0.154556"/>
          <c:w val="0.497500"/>
          <c:h val="0.762889"/>
        </c:manualLayout>
      </c:layout>
      <c:pieChart>
        <c:varyColors val="1"/>
        <c:ser>
          <c:idx val="0"/>
          <c:order val="0"/>
          <c:tx>
            <c:strRef>
              <c:f xml:space="preserve">label 0</c:f>
              <c:strCache>
                <c:ptCount val="1"/>
                <c:pt idx="0">
                  <c:v xml:space="preserve">Структура малого и среднего предпринимательства в мунципальном образовании </c:v>
                </c:pt>
              </c:strCache>
            </c:strRef>
          </c:tx>
          <c:spPr bwMode="auto">
            <a:prstGeom prst="rect">
              <a:avLst/>
            </a:prstGeom>
            <a:solidFill>
              <a:srgbClr val="4472C4"/>
            </a:solidFill>
            <a:ln>
              <a:noFill/>
            </a:ln>
          </c:spPr>
          <c:explosion val="1"/>
          <c:dPt>
            <c:idx val="0"/>
            <c:explosion val="1"/>
            <c:spPr bwMode="auto">
              <a:prstGeom prst="rect">
                <a:avLst/>
              </a:prstGeom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explosion val="1"/>
            <c:spPr bwMode="auto">
              <a:prstGeom prst="rect">
                <a:avLst/>
              </a:prstGeom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explosion val="1"/>
            <c:spPr bwMode="auto">
              <a:prstGeom prst="rect">
                <a:avLst/>
              </a:prstGeom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explosion val="1"/>
            <c:spPr bwMode="auto">
              <a:prstGeom prst="rect">
                <a:avLst/>
              </a:prstGeom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4"/>
            <c:explosion val="1"/>
            <c:spPr bwMode="auto">
              <a:prstGeom prst="rect">
                <a:avLst/>
              </a:prstGeom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5"/>
            <c:explosion val="1"/>
            <c:spPr bwMode="auto">
              <a:prstGeom prst="rect">
                <a:avLst/>
              </a:prstGeom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6"/>
            <c:explosion val="1"/>
            <c:spPr bwMode="auto">
              <a:prstGeom prst="rect">
                <a:avLst/>
              </a:prstGeom>
              <a:solidFill>
                <a:srgbClr val="264478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7"/>
            <c:explosion val="1"/>
            <c:spPr bwMode="auto">
              <a:prstGeom prst="rect">
                <a:avLst/>
              </a:prstGeom>
              <a:solidFill>
                <a:srgbClr val="ED7D31"/>
              </a:solidFill>
              <a:ln>
                <a:noFill/>
              </a:ln>
            </c:spPr>
          </c:dPt>
          <c:dPt>
            <c:idx val="8"/>
            <c:explosion val="1"/>
            <c:spPr bwMode="auto">
              <a:prstGeom prst="rect">
                <a:avLst/>
              </a:prstGeom>
              <a:solidFill>
                <a:srgbClr val="A5A5A5"/>
              </a:solidFill>
              <a:ln>
                <a:noFill/>
              </a:ln>
            </c:spPr>
          </c:dPt>
          <c:dPt>
            <c:idx val="9"/>
            <c:explosion val="1"/>
            <c:spPr bwMode="auto">
              <a:prstGeom prst="rect">
                <a:avLst/>
              </a:prstGeom>
              <a:solidFill>
                <a:srgbClr val="FFC000"/>
              </a:solidFill>
              <a:ln>
                <a:noFill/>
              </a:ln>
            </c:spPr>
          </c:dPt>
          <c:dPt>
            <c:idx val="10"/>
            <c:explosion val="1"/>
            <c:spPr bwMode="auto">
              <a:prstGeom prst="rect">
                <a:avLst/>
              </a:prstGeom>
              <a:solidFill>
                <a:srgbClr val="5B9BD5"/>
              </a:solidFill>
              <a:ln>
                <a:noFill/>
              </a:ln>
            </c:spPr>
          </c:dPt>
          <c:dPt>
            <c:idx val="11"/>
            <c:explosion val="1"/>
            <c:spPr bwMode="auto">
              <a:prstGeom prst="rect">
                <a:avLst/>
              </a:prstGeom>
              <a:solidFill>
                <a:srgbClr val="70AD47"/>
              </a:solidFill>
              <a:ln>
                <a:noFill/>
              </a:ln>
            </c:spPr>
          </c:dPt>
          <c:dPt>
            <c:idx val="12"/>
            <c:explosion val="1"/>
            <c:spPr bwMode="auto">
              <a:prstGeom prst="rect">
                <a:avLst/>
              </a:prstGeom>
              <a:solidFill>
                <a:srgbClr val="A7B4DB"/>
              </a:solidFill>
              <a:ln>
                <a:noFill/>
              </a:ln>
            </c:spPr>
          </c:dPt>
          <c:dPt>
            <c:idx val="13"/>
            <c:explosion val="1"/>
            <c:spPr bwMode="auto">
              <a:prstGeom prst="rect">
                <a:avLst/>
              </a:prstGeom>
              <a:solidFill>
                <a:srgbClr val="F3B8A4"/>
              </a:solidFill>
              <a:ln>
                <a:noFill/>
              </a:ln>
            </c:spPr>
          </c:dPt>
          <c:dPt>
            <c:idx val="14"/>
            <c:explosion val="1"/>
            <c:spPr bwMode="auto">
              <a:prstGeom prst="rect">
                <a:avLst/>
              </a:prstGeom>
              <a:solidFill>
                <a:srgbClr val="CACACA"/>
              </a:solidFill>
              <a:ln>
                <a:noFill/>
              </a:ln>
            </c:spPr>
          </c:dPt>
          <c:dPt>
            <c:idx val="15"/>
            <c:explosion val="1"/>
            <c:spPr bwMode="auto">
              <a:prstGeom prst="rect">
                <a:avLst/>
              </a:prstGeom>
              <a:solidFill>
                <a:srgbClr val="FFD8A1"/>
              </a:solidFill>
              <a:ln>
                <a:noFill/>
              </a:ln>
            </c:spPr>
          </c:dPt>
          <c:dPt>
            <c:idx val="16"/>
            <c:explosion val="1"/>
            <c:spPr bwMode="auto">
              <a:prstGeom prst="rect">
                <a:avLst/>
              </a:prstGeom>
              <a:solidFill>
                <a:srgbClr val="ADC5E4"/>
              </a:solidFill>
              <a:ln>
                <a:noFill/>
              </a:ln>
            </c:spPr>
          </c:dPt>
          <c:dLbls>
            <c:dLbl>
              <c:idx val="0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2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3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4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5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6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7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8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9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0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1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2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3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4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5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>
              <c:idx val="16"/>
              <c:dLblPos val="bestFit"/>
              <c:layout/>
              <c:separator xml:space="preserve">; </c:separator>
              <c:showBubbleSize val="0"/>
              <c:showCatName val="0"/>
              <c:showLegendKey val="0"/>
              <c:showPercent val="1"/>
              <c:showSerName val="0"/>
              <c:showVal val="1"/>
              <c:txPr>
                <a:bodyPr/>
                <a:lstStyle/>
                <a:p>
                  <a:pPr>
                    <a:defRPr sz="1000" b="1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/>
                </a:p>
              </c:txPr>
            </c:dLbl>
            <c:dLblPos val="bestFit"/>
            <c:numFmt formatCode="General" sourceLinked="1"/>
            <c:separator xml:space="preserve">; </c:separator>
            <c:showBubbleSize val="0"/>
            <c:showCatName val="0"/>
            <c:showLeaderLines val="0"/>
            <c:showLegendKey val="0"/>
            <c:showPercent val="1"/>
            <c:showSerName val="0"/>
            <c:showVal val="1"/>
            <c:txPr>
              <a:bodyPr/>
              <a:lstStyle/>
              <a:p>
                <a:pPr>
                  <a:defRPr sz="1000" b="1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/>
              </a:p>
            </c:txPr>
          </c:dLbls>
          <c:cat>
            <c:strRef>
              <c:f>categories</c:f>
              <c:strCache>
                <c:ptCount val="17"/>
                <c:pt idx="0">
                  <c:v xml:space="preserve">Торговля оптовая и розничная; ремонт автотранспортных средств и мотоциклов</c:v>
                </c:pt>
                <c:pt idx="1">
                  <c:v xml:space="preserve">Транспортировка и хранение</c:v>
                </c:pt>
                <c:pt idx="2">
                  <c:v xml:space="preserve">Сельское, лесное хозяйство, охота, рыболовство и рыбоводство</c:v>
                </c:pt>
                <c:pt idx="3">
                  <c:v xml:space="preserve">Обрабатывающие производства</c:v>
                </c:pt>
                <c:pt idx="4">
                  <c:v>Строительство</c:v>
                </c:pt>
                <c:pt idx="5">
                  <c:v xml:space="preserve">Деятельность гостиниц и предприятий общественного питания</c:v>
                </c:pt>
                <c:pt idx="6">
                  <c:v xml:space="preserve">Деятельность по операциям с недвижимым имуществом</c:v>
                </c:pt>
                <c:pt idx="7">
                  <c:v xml:space="preserve">Деятельность профессиональная, научная и техническая</c:v>
                </c:pt>
                <c:pt idx="8">
                  <c:v xml:space="preserve">Предоставление услуг парикмахерскими и салонами красоты</c:v>
                </c:pt>
                <c:pt idx="9">
                  <c:v xml:space="preserve">Обеспечение электрической энергией, газом и паром; кондиционирование воздуха</c:v>
                </c:pt>
                <c:pt idx="10">
                  <c:v xml:space="preserve">Деятельность финансовая и страховая</c:v>
                </c:pt>
                <c:pt idx="11">
                  <c:v xml:space="preserve">Деятельность административная и сопутствующие дополнительные услуги</c:v>
                </c:pt>
                <c:pt idx="12">
                  <c:v xml:space="preserve"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 xml:space="preserve">Деятельность в области здравоохранения и социальных услуг</c:v>
                </c:pt>
                <c:pt idx="15">
                  <c:v xml:space="preserve">Деятельность в области информации и связи</c:v>
                </c:pt>
                <c:pt idx="16">
                  <c:v xml:space="preserve">Предоставление прочих видов услуг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74</c:v>
                </c:pt>
                <c:pt idx="1">
                  <c:v>35</c:v>
                </c:pt>
                <c:pt idx="2">
                  <c:v>25</c:v>
                </c:pt>
                <c:pt idx="3">
                  <c:v>22</c:v>
                </c:pt>
                <c:pt idx="4">
                  <c:v>28</c:v>
                </c:pt>
                <c:pt idx="5">
                  <c:v>12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</c:ser>
        <c:dLbls>
          <c:showBubbleSize val="0"/>
          <c:showCatName val="0"/>
          <c:showLegendKey val="0"/>
          <c:showPercent val="0"/>
          <c:showSerName val="0"/>
          <c:showVal val="0"/>
        </c:dLbls>
        <c:firstSliceAng val="0"/>
      </c:pieChart>
      <c:spPr bwMode="auto">
        <a:prstGeom prst="rect">
          <a:avLst/>
        </a:prstGeom>
        <a:noFill/>
        <a:ln>
          <a:noFill/>
        </a:ln>
      </c:spPr>
    </c:plotArea>
    <c:legend>
      <c:layout>
        <c:manualLayout>
          <c:xMode val="edge"/>
          <c:yMode val="edge"/>
          <c:x val="0.599875"/>
          <c:y val="0.043889"/>
          <c:w val="0.368836"/>
          <c:h val="0.912324"/>
        </c:manualLayout>
      </c:layout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1000" b="1" strike="noStrike" spc="-1">
              <a:solidFill>
                <a:srgbClr val="595959"/>
              </a:solidFill>
              <a:latin typeface="Calibri"/>
            </a:defRPr>
          </a:pPr>
          <a:endParaRPr/>
        </a:p>
      </c:txPr>
    </c:legend>
    <c:plotVisOnly val="1"/>
    <c:dispBlanksAs val="zero"/>
    <c:showDLblsOverMax val="0"/>
  </c:chart>
  <c:spPr bwMode="auto">
    <a:prstGeom prst="rect">
      <a:avLst/>
    </a:prstGeom>
    <a:noFill/>
    <a:ln w="936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3EAA-AD78-4BE1-B5E8-FCEB2021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diakov.net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dc:description/>
  <dc:language>ru-RU</dc:language>
  <cp:lastModifiedBy>Оксана Кулешова</cp:lastModifiedBy>
  <cp:revision>6</cp:revision>
  <dcterms:created xsi:type="dcterms:W3CDTF">2025-07-17T13:11:00Z</dcterms:created>
  <dcterms:modified xsi:type="dcterms:W3CDTF">2025-08-01T11:54:02Z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