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5D" w:rsidRPr="00AC285D" w:rsidRDefault="00AC285D" w:rsidP="000267A1">
      <w:pPr>
        <w:keepNext/>
        <w:spacing w:after="0" w:line="240" w:lineRule="auto"/>
        <w:ind w:left="284" w:right="160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AC285D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АДМИНИСТРАЦИЯ МУНИЦИПАЛЬНОГО ОБРАЗОВАНИЯ</w:t>
      </w:r>
    </w:p>
    <w:p w:rsidR="00AC285D" w:rsidRPr="00AC285D" w:rsidRDefault="00AC285D" w:rsidP="00AC28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AC285D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«ВЕЛИЖСКИЙ </w:t>
      </w:r>
      <w:r w:rsidR="00742380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МУНИЦИПАЛЬНЫЙ ОКРУГ</w:t>
      </w:r>
      <w:r w:rsidRPr="00AC285D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»</w:t>
      </w:r>
    </w:p>
    <w:p w:rsidR="00AC285D" w:rsidRPr="00AC285D" w:rsidRDefault="00AC285D" w:rsidP="00AC28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:rsidR="00AC285D" w:rsidRPr="00AC285D" w:rsidRDefault="00AC285D" w:rsidP="00AC28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AC285D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ФИНАНСОВОЕ УПРАВЛЕНИЕ</w:t>
      </w:r>
    </w:p>
    <w:p w:rsidR="00AC285D" w:rsidRPr="00AC285D" w:rsidRDefault="00AC285D" w:rsidP="00AC28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285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ПРИКАЗ</w:t>
      </w:r>
    </w:p>
    <w:p w:rsidR="00AC285D" w:rsidRPr="00AC285D" w:rsidRDefault="00AC285D" w:rsidP="00AC285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24"/>
          <w:lang w:eastAsia="ru-RU"/>
        </w:rPr>
      </w:pPr>
    </w:p>
    <w:p w:rsidR="00FB6CEA" w:rsidRDefault="00AC285D" w:rsidP="00AC285D">
      <w:pPr>
        <w:keepNext/>
        <w:spacing w:after="0" w:line="240" w:lineRule="auto"/>
        <w:ind w:left="-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768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28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7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354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</w:t>
      </w:r>
      <w:r w:rsidR="00FB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</w:t>
      </w:r>
      <w:r w:rsidRPr="00AC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6B2354">
        <w:rPr>
          <w:rFonts w:ascii="Times New Roman" w:eastAsia="Times New Roman" w:hAnsi="Times New Roman" w:cs="Times New Roman"/>
          <w:sz w:val="28"/>
          <w:szCs w:val="28"/>
          <w:lang w:eastAsia="ru-RU"/>
        </w:rPr>
        <w:t>7А</w:t>
      </w:r>
    </w:p>
    <w:p w:rsidR="00AC285D" w:rsidRPr="00AC285D" w:rsidRDefault="00AC285D" w:rsidP="00AC285D">
      <w:pPr>
        <w:keepNext/>
        <w:spacing w:after="0" w:line="240" w:lineRule="auto"/>
        <w:ind w:left="-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E506B0" w:rsidRDefault="00823B05" w:rsidP="00823B0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О Порядке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проведения мониторинга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образования «</w:t>
      </w:r>
      <w:r>
        <w:rPr>
          <w:rFonts w:ascii="Times New Roman CYR" w:hAnsi="Times New Roman CYR" w:cs="Times New Roman CYR"/>
          <w:sz w:val="28"/>
          <w:szCs w:val="28"/>
        </w:rPr>
        <w:t>Велижский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504AF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E504AF">
        <w:rPr>
          <w:rFonts w:ascii="Times New Roman CYR" w:hAnsi="Times New Roman CYR" w:cs="Times New Roman CYR"/>
          <w:sz w:val="28"/>
          <w:szCs w:val="28"/>
        </w:rPr>
        <w:t>Смоленской области</w:t>
      </w:r>
    </w:p>
    <w:p w:rsidR="00E506B0" w:rsidRDefault="00E506B0" w:rsidP="00823B0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Default="00E506B0" w:rsidP="00823B0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Default="00E506B0" w:rsidP="00823B0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Default="00E506B0" w:rsidP="00823B0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823B05" w:rsidP="00E506B0">
      <w:pPr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506B0" w:rsidRPr="00BC7AEE">
        <w:rPr>
          <w:rFonts w:ascii="Times New Roman CYR" w:hAnsi="Times New Roman CYR" w:cs="Times New Roman CYR"/>
          <w:sz w:val="28"/>
          <w:szCs w:val="28"/>
        </w:rPr>
        <w:t xml:space="preserve">В соответствии со ст. 160.2-1 Бюджетного кодекса Российской Федерации, руководствуясь приказом Министерства финансов Российской Федерации от 14 ноября 2019 года № 1031 «Об утверждении методических рекомендаций  по проведению мониторинга качества финансового менеджмента» </w:t>
      </w:r>
    </w:p>
    <w:p w:rsidR="00E506B0" w:rsidRPr="00BC7AEE" w:rsidRDefault="00E506B0" w:rsidP="00E506B0">
      <w:pPr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72"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ПРИКАЗЫВАЮ:</w:t>
      </w:r>
    </w:p>
    <w:p w:rsidR="00E506B0" w:rsidRPr="00BC7AEE" w:rsidRDefault="00E506B0" w:rsidP="00E506B0">
      <w:pPr>
        <w:autoSpaceDE w:val="0"/>
        <w:autoSpaceDN w:val="0"/>
        <w:adjustRightInd w:val="0"/>
        <w:spacing w:before="72"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Утвердить Порядок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проведения мониторинга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образования</w:t>
      </w:r>
      <w:r w:rsidR="00537C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537C5B">
        <w:rPr>
          <w:rFonts w:ascii="Times New Roman CYR" w:hAnsi="Times New Roman CYR" w:cs="Times New Roman CYR"/>
          <w:sz w:val="28"/>
          <w:szCs w:val="28"/>
        </w:rPr>
        <w:t>Велижский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0772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8E0772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>, согласно приложению №1.</w:t>
      </w:r>
    </w:p>
    <w:p w:rsidR="00E506B0" w:rsidRPr="00BC7AEE" w:rsidRDefault="00E506B0" w:rsidP="00E506B0">
      <w:pPr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Утвердить Методику расчета и анализа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значений показателей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образования 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537C5B">
        <w:rPr>
          <w:rFonts w:ascii="Times New Roman CYR" w:hAnsi="Times New Roman CYR" w:cs="Times New Roman CYR"/>
          <w:sz w:val="28"/>
          <w:szCs w:val="28"/>
        </w:rPr>
        <w:t>Велижский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219B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FB219B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>(далее – Методика), согласно приложению № 2.</w:t>
      </w:r>
    </w:p>
    <w:p w:rsidR="00E506B0" w:rsidRPr="00BC7AEE" w:rsidRDefault="00E506B0" w:rsidP="00D34F77">
      <w:pPr>
        <w:tabs>
          <w:tab w:val="left" w:pos="113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3. Назначить  ответственными   лицами,  осуществляющими   проведение </w:t>
      </w:r>
      <w:proofErr w:type="gramStart"/>
      <w:r w:rsidR="00D34F77">
        <w:rPr>
          <w:rFonts w:ascii="Times New Roman CYR" w:hAnsi="Times New Roman CYR" w:cs="Times New Roman CYR"/>
          <w:sz w:val="28"/>
          <w:szCs w:val="28"/>
        </w:rPr>
        <w:t>м</w:t>
      </w:r>
      <w:r w:rsidRPr="00BC7AEE">
        <w:rPr>
          <w:rFonts w:ascii="Times New Roman CYR" w:hAnsi="Times New Roman CYR" w:cs="Times New Roman CYR"/>
          <w:sz w:val="28"/>
          <w:szCs w:val="28"/>
        </w:rPr>
        <w:t>ониторинга</w:t>
      </w:r>
      <w:r w:rsidR="00537C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качества финансового менеджмента 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образования 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537C5B">
        <w:rPr>
          <w:rFonts w:ascii="Times New Roman CYR" w:hAnsi="Times New Roman CYR" w:cs="Times New Roman CYR"/>
          <w:sz w:val="28"/>
          <w:szCs w:val="28"/>
        </w:rPr>
        <w:t>Велижский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6513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136513"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  <w:r w:rsidRPr="00BC7AEE">
        <w:rPr>
          <w:rFonts w:ascii="Times New Roman CYR" w:hAnsi="Times New Roman CYR" w:cs="Times New Roman CYR"/>
          <w:sz w:val="28"/>
          <w:szCs w:val="28"/>
        </w:rPr>
        <w:t>(далее – ответственные лица финансового управления),  следующих работников:</w:t>
      </w: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 по показателям, относящимся к деятельности бюджетного отдела (Р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1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, Р3, Р4, Р5, Р8, Р17, Р18, Р19  приложения № 1 к Методике)  </w:t>
      </w:r>
      <w:r w:rsidR="00657A42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FB219B">
        <w:rPr>
          <w:rFonts w:ascii="Times New Roman CYR" w:hAnsi="Times New Roman CYR" w:cs="Times New Roman CYR"/>
          <w:sz w:val="28"/>
          <w:szCs w:val="28"/>
        </w:rPr>
        <w:t>О</w:t>
      </w:r>
      <w:r w:rsidR="00537C5B">
        <w:rPr>
          <w:rFonts w:ascii="Times New Roman CYR" w:hAnsi="Times New Roman CYR" w:cs="Times New Roman CYR"/>
          <w:sz w:val="28"/>
          <w:szCs w:val="28"/>
        </w:rPr>
        <w:t>.</w:t>
      </w:r>
      <w:r w:rsidR="00FB219B">
        <w:rPr>
          <w:rFonts w:ascii="Times New Roman CYR" w:hAnsi="Times New Roman CYR" w:cs="Times New Roman CYR"/>
          <w:sz w:val="28"/>
          <w:szCs w:val="28"/>
        </w:rPr>
        <w:t>В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B219B">
        <w:rPr>
          <w:rFonts w:ascii="Times New Roman CYR" w:hAnsi="Times New Roman CYR" w:cs="Times New Roman CYR"/>
          <w:sz w:val="28"/>
          <w:szCs w:val="28"/>
        </w:rPr>
        <w:t>Коновалову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15ADB">
        <w:rPr>
          <w:rFonts w:ascii="Times New Roman CYR" w:hAnsi="Times New Roman CYR" w:cs="Times New Roman CYR"/>
          <w:sz w:val="28"/>
          <w:szCs w:val="28"/>
        </w:rPr>
        <w:t>заместителя начальника Финансового управления</w:t>
      </w:r>
      <w:r w:rsidR="00657A42">
        <w:rPr>
          <w:rFonts w:ascii="Times New Roman CYR" w:hAnsi="Times New Roman CYR" w:cs="Times New Roman CYR"/>
          <w:sz w:val="28"/>
          <w:szCs w:val="28"/>
        </w:rPr>
        <w:t xml:space="preserve"> Администрации муниципального образования «Велижский </w:t>
      </w:r>
      <w:r w:rsidR="00FB219B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657A42">
        <w:rPr>
          <w:rFonts w:ascii="Times New Roman CYR" w:hAnsi="Times New Roman CYR" w:cs="Times New Roman CYR"/>
          <w:sz w:val="28"/>
          <w:szCs w:val="28"/>
        </w:rPr>
        <w:t>»</w:t>
      </w:r>
      <w:r w:rsidR="00FB219B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1F4B0B" w:rsidRPr="00BC7AEE" w:rsidRDefault="00E506B0" w:rsidP="001F4B0B">
      <w:pPr>
        <w:tabs>
          <w:tab w:val="left" w:pos="113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- по показателям, относящимся к деятельности </w:t>
      </w:r>
      <w:r w:rsidR="00BF6983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отдела прогнозирования доходов и финансирования производственной</w:t>
      </w:r>
      <w:r w:rsidR="00BF69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сферы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(Р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2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>,</w:t>
      </w:r>
      <w:r w:rsidR="00BF69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EF2">
        <w:rPr>
          <w:rFonts w:ascii="Times New Roman CYR" w:hAnsi="Times New Roman CYR" w:cs="Times New Roman CYR"/>
          <w:sz w:val="28"/>
          <w:szCs w:val="28"/>
        </w:rPr>
        <w:t>Р15</w:t>
      </w:r>
      <w:r w:rsidR="00BF69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приложения № 1 к </w:t>
      </w:r>
      <w:r w:rsidRPr="00BC7AEE">
        <w:rPr>
          <w:rFonts w:ascii="Times New Roman CYR" w:hAnsi="Times New Roman CYR" w:cs="Times New Roman CYR"/>
          <w:sz w:val="28"/>
          <w:szCs w:val="28"/>
        </w:rPr>
        <w:lastRenderedPageBreak/>
        <w:t>Методике) – Н.</w:t>
      </w:r>
      <w:r w:rsidR="00AA034F">
        <w:rPr>
          <w:rFonts w:ascii="Times New Roman CYR" w:hAnsi="Times New Roman CYR" w:cs="Times New Roman CYR"/>
          <w:sz w:val="28"/>
          <w:szCs w:val="28"/>
        </w:rPr>
        <w:t>А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A034F">
        <w:rPr>
          <w:rFonts w:ascii="Times New Roman CYR" w:hAnsi="Times New Roman CYR" w:cs="Times New Roman CYR"/>
          <w:sz w:val="28"/>
          <w:szCs w:val="28"/>
        </w:rPr>
        <w:t>Солдатову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1F4B0B">
        <w:rPr>
          <w:rFonts w:ascii="Times New Roman CYR" w:hAnsi="Times New Roman CYR" w:cs="Times New Roman CYR"/>
          <w:sz w:val="28"/>
          <w:szCs w:val="28"/>
        </w:rPr>
        <w:t>н</w:t>
      </w:r>
      <w:r w:rsidR="001F4B0B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ачальник</w:t>
      </w:r>
      <w:r w:rsid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1F4B0B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отдела прогнозирования доходов и финансирования производственной</w:t>
      </w:r>
      <w:r w:rsid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сферы </w:t>
      </w:r>
      <w:r w:rsidR="001F4B0B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«Велижский </w:t>
      </w:r>
      <w:r w:rsidR="00BF6983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1F4B0B">
        <w:rPr>
          <w:rFonts w:ascii="Times New Roman CYR" w:hAnsi="Times New Roman CYR" w:cs="Times New Roman CYR"/>
          <w:sz w:val="28"/>
          <w:szCs w:val="28"/>
        </w:rPr>
        <w:t>»</w:t>
      </w:r>
      <w:r w:rsidR="00BF6983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1F4B0B" w:rsidRPr="00BC7AEE">
        <w:rPr>
          <w:rFonts w:ascii="Times New Roman CYR" w:hAnsi="Times New Roman CYR" w:cs="Times New Roman CYR"/>
          <w:sz w:val="28"/>
          <w:szCs w:val="28"/>
        </w:rPr>
        <w:t>;</w:t>
      </w: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- по  показателям, относящимся  к деятельности казначейского отдела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Р6, Р7, Р9 приложения № 1 к Методике) – </w:t>
      </w:r>
      <w:r w:rsidR="006E44DC">
        <w:rPr>
          <w:rFonts w:ascii="Times New Roman CYR" w:hAnsi="Times New Roman CYR" w:cs="Times New Roman CYR"/>
          <w:sz w:val="28"/>
          <w:szCs w:val="28"/>
        </w:rPr>
        <w:t>Н</w:t>
      </w:r>
      <w:r w:rsidRPr="00BC7AEE">
        <w:rPr>
          <w:rFonts w:ascii="Times New Roman CYR" w:hAnsi="Times New Roman CYR" w:cs="Times New Roman CYR"/>
          <w:sz w:val="28"/>
          <w:szCs w:val="28"/>
        </w:rPr>
        <w:t>.</w:t>
      </w:r>
      <w:r w:rsidR="006E44DC">
        <w:rPr>
          <w:rFonts w:ascii="Times New Roman CYR" w:hAnsi="Times New Roman CYR" w:cs="Times New Roman CYR"/>
          <w:sz w:val="28"/>
          <w:szCs w:val="28"/>
        </w:rPr>
        <w:t>И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E44DC">
        <w:rPr>
          <w:rFonts w:ascii="Times New Roman CYR" w:hAnsi="Times New Roman CYR" w:cs="Times New Roman CYR"/>
          <w:sz w:val="28"/>
          <w:szCs w:val="28"/>
        </w:rPr>
        <w:t>Руднев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у, </w:t>
      </w:r>
      <w:r w:rsidR="006E44DC">
        <w:rPr>
          <w:rFonts w:ascii="Times New Roman CYR" w:hAnsi="Times New Roman CYR" w:cs="Times New Roman CYR"/>
          <w:sz w:val="28"/>
          <w:szCs w:val="28"/>
        </w:rPr>
        <w:t xml:space="preserve">начальника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казначейского отдела</w:t>
      </w:r>
      <w:r w:rsidR="00C33F04" w:rsidRPr="00C33F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3F04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«Велижский </w:t>
      </w:r>
      <w:r w:rsidR="007C7AA9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C33F04">
        <w:rPr>
          <w:rFonts w:ascii="Times New Roman CYR" w:hAnsi="Times New Roman CYR" w:cs="Times New Roman CYR"/>
          <w:sz w:val="28"/>
          <w:szCs w:val="28"/>
        </w:rPr>
        <w:t>»</w:t>
      </w:r>
      <w:r w:rsidR="007C7AA9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>;</w:t>
      </w: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- по показателям, относящимся к деятельности отдела </w:t>
      </w:r>
      <w:r w:rsidR="00B01DBA">
        <w:rPr>
          <w:rFonts w:ascii="Times New Roman CYR" w:hAnsi="Times New Roman CYR" w:cs="Times New Roman CYR"/>
          <w:sz w:val="28"/>
          <w:szCs w:val="28"/>
        </w:rPr>
        <w:t xml:space="preserve">бюджетного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учета и отчетности (Р10, Р11, Р12, Р13, Р14, Р20 приложения № 1 к Методике) – </w:t>
      </w:r>
      <w:r w:rsidR="00B01DBA">
        <w:rPr>
          <w:rFonts w:ascii="Times New Roman CYR" w:hAnsi="Times New Roman CYR" w:cs="Times New Roman CYR"/>
          <w:sz w:val="28"/>
          <w:szCs w:val="28"/>
        </w:rPr>
        <w:t>И</w:t>
      </w:r>
      <w:r w:rsidRPr="00BC7AEE">
        <w:rPr>
          <w:rFonts w:ascii="Times New Roman CYR" w:hAnsi="Times New Roman CYR" w:cs="Times New Roman CYR"/>
          <w:sz w:val="28"/>
          <w:szCs w:val="28"/>
        </w:rPr>
        <w:t>.</w:t>
      </w:r>
      <w:r w:rsidR="00B01DBA">
        <w:rPr>
          <w:rFonts w:ascii="Times New Roman CYR" w:hAnsi="Times New Roman CYR" w:cs="Times New Roman CYR"/>
          <w:sz w:val="28"/>
          <w:szCs w:val="28"/>
        </w:rPr>
        <w:t>Ф.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6E44DC">
        <w:rPr>
          <w:rFonts w:ascii="Times New Roman CYR" w:hAnsi="Times New Roman CYR" w:cs="Times New Roman CYR"/>
          <w:sz w:val="28"/>
          <w:szCs w:val="28"/>
        </w:rPr>
        <w:t>С</w:t>
      </w:r>
      <w:r w:rsidR="00B01DBA">
        <w:rPr>
          <w:rFonts w:ascii="Times New Roman CYR" w:hAnsi="Times New Roman CYR" w:cs="Times New Roman CYR"/>
          <w:sz w:val="28"/>
          <w:szCs w:val="28"/>
        </w:rPr>
        <w:t>адкову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93F8F">
        <w:rPr>
          <w:rFonts w:ascii="Times New Roman CYR" w:hAnsi="Times New Roman CYR" w:cs="Times New Roman CYR"/>
          <w:sz w:val="28"/>
          <w:szCs w:val="28"/>
        </w:rPr>
        <w:t>ведущего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 специалиста  отдела </w:t>
      </w:r>
      <w:r w:rsidR="00C93F8F">
        <w:rPr>
          <w:rFonts w:ascii="Times New Roman CYR" w:hAnsi="Times New Roman CYR" w:cs="Times New Roman CYR"/>
          <w:sz w:val="28"/>
          <w:szCs w:val="28"/>
        </w:rPr>
        <w:t xml:space="preserve"> бюджетного </w:t>
      </w:r>
      <w:r w:rsidRPr="00BC7AEE">
        <w:rPr>
          <w:rFonts w:ascii="Times New Roman CYR" w:hAnsi="Times New Roman CYR" w:cs="Times New Roman CYR"/>
          <w:sz w:val="28"/>
          <w:szCs w:val="28"/>
        </w:rPr>
        <w:t>учета и отчетности</w:t>
      </w:r>
      <w:r w:rsidR="009F2413" w:rsidRPr="009F24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2413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«Велижский </w:t>
      </w:r>
      <w:r w:rsidR="00C93F8F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9F2413">
        <w:rPr>
          <w:rFonts w:ascii="Times New Roman CYR" w:hAnsi="Times New Roman CYR" w:cs="Times New Roman CYR"/>
          <w:sz w:val="28"/>
          <w:szCs w:val="28"/>
        </w:rPr>
        <w:t>»</w:t>
      </w:r>
      <w:r w:rsidR="00C93F8F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>.</w:t>
      </w: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4.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 xml:space="preserve">Установить, что свод результатов анализа (по суммарной и средней оценке) качества финансового менеджмента (по форме, предусмотренной приложением № 3 к Методике) и сводный рейтинг (по форме, предусмотренной приложением № 4 к Методике) оформляются </w:t>
      </w:r>
      <w:r w:rsidR="001F086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EF2">
        <w:rPr>
          <w:rFonts w:ascii="Times New Roman CYR" w:hAnsi="Times New Roman CYR" w:cs="Times New Roman CYR"/>
          <w:sz w:val="28"/>
          <w:szCs w:val="28"/>
        </w:rPr>
        <w:t xml:space="preserve">заместителем </w:t>
      </w:r>
      <w:r w:rsidR="001F0866">
        <w:rPr>
          <w:rFonts w:ascii="Times New Roman CYR" w:hAnsi="Times New Roman CYR" w:cs="Times New Roman CYR"/>
          <w:sz w:val="28"/>
          <w:szCs w:val="28"/>
        </w:rPr>
        <w:t>н</w:t>
      </w:r>
      <w:r w:rsidR="001F0866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ачальник</w:t>
      </w:r>
      <w:r w:rsidR="00EC0EF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 </w:t>
      </w:r>
      <w:r w:rsidR="001F0866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F08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«Велижский </w:t>
      </w:r>
      <w:r w:rsidR="002C3524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1F0866">
        <w:rPr>
          <w:rFonts w:ascii="Times New Roman CYR" w:hAnsi="Times New Roman CYR" w:cs="Times New Roman CYR"/>
          <w:sz w:val="28"/>
          <w:szCs w:val="28"/>
        </w:rPr>
        <w:t>»</w:t>
      </w:r>
      <w:r w:rsidR="002C3524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3524">
        <w:rPr>
          <w:rFonts w:ascii="Times New Roman CYR" w:hAnsi="Times New Roman CYR" w:cs="Times New Roman CYR"/>
          <w:sz w:val="28"/>
          <w:szCs w:val="28"/>
        </w:rPr>
        <w:t>О</w:t>
      </w:r>
      <w:r w:rsidR="001F0866">
        <w:rPr>
          <w:rFonts w:ascii="Times New Roman CYR" w:hAnsi="Times New Roman CYR" w:cs="Times New Roman CYR"/>
          <w:sz w:val="28"/>
          <w:szCs w:val="28"/>
        </w:rPr>
        <w:t>.</w:t>
      </w:r>
      <w:r w:rsidR="002C3524">
        <w:rPr>
          <w:rFonts w:ascii="Times New Roman CYR" w:hAnsi="Times New Roman CYR" w:cs="Times New Roman CYR"/>
          <w:sz w:val="28"/>
          <w:szCs w:val="28"/>
        </w:rPr>
        <w:t>В.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3524">
        <w:rPr>
          <w:rFonts w:ascii="Times New Roman CYR" w:hAnsi="Times New Roman CYR" w:cs="Times New Roman CYR"/>
          <w:sz w:val="28"/>
          <w:szCs w:val="28"/>
        </w:rPr>
        <w:t>Коноваловой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>– на основании информации (по формам, установленным приложениями №1, № 3 к Методике),  предоставленной (за своими  подписями) ответственными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лицами финансового управления.   </w:t>
      </w: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 5. </w:t>
      </w:r>
      <w:proofErr w:type="gramStart"/>
      <w:r w:rsidR="001F0866">
        <w:rPr>
          <w:rFonts w:ascii="Times New Roman CYR" w:hAnsi="Times New Roman CYR" w:cs="Times New Roman CYR"/>
          <w:sz w:val="28"/>
          <w:szCs w:val="28"/>
        </w:rPr>
        <w:t>О</w:t>
      </w:r>
      <w:r w:rsidR="001F0866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тдел</w:t>
      </w:r>
      <w:r w:rsidR="001F08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</w:t>
      </w:r>
      <w:r w:rsidR="001F0866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прогнозирования доходов и финансирования производственной</w:t>
      </w:r>
      <w:r w:rsidR="001F086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сферы 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«Велижский </w:t>
      </w:r>
      <w:r w:rsidR="00C43C58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1F0866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C43C58">
        <w:rPr>
          <w:rFonts w:ascii="Times New Roman CYR" w:hAnsi="Times New Roman CYR" w:cs="Times New Roman CYR"/>
          <w:sz w:val="28"/>
          <w:szCs w:val="28"/>
        </w:rPr>
        <w:t>Смоленской 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1F0866">
        <w:rPr>
          <w:rFonts w:ascii="Times New Roman CYR" w:hAnsi="Times New Roman CYR" w:cs="Times New Roman CYR"/>
          <w:sz w:val="28"/>
          <w:szCs w:val="28"/>
        </w:rPr>
        <w:t>Н</w:t>
      </w:r>
      <w:r w:rsidRPr="00BC7AEE">
        <w:rPr>
          <w:rFonts w:ascii="Times New Roman CYR" w:hAnsi="Times New Roman CYR" w:cs="Times New Roman CYR"/>
          <w:sz w:val="28"/>
          <w:szCs w:val="28"/>
        </w:rPr>
        <w:t>.</w:t>
      </w:r>
      <w:r w:rsidR="00AA034F">
        <w:rPr>
          <w:rFonts w:ascii="Times New Roman CYR" w:hAnsi="Times New Roman CYR" w:cs="Times New Roman CYR"/>
          <w:sz w:val="28"/>
          <w:szCs w:val="28"/>
        </w:rPr>
        <w:t>А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A034F">
        <w:rPr>
          <w:rFonts w:ascii="Times New Roman CYR" w:hAnsi="Times New Roman CYR" w:cs="Times New Roman CYR"/>
          <w:sz w:val="28"/>
          <w:szCs w:val="28"/>
        </w:rPr>
        <w:t>Солдатовой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) довести настоящий приказ до главных администраторов средств бюджета муниципального образования 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537C5B">
        <w:rPr>
          <w:rFonts w:ascii="Times New Roman CYR" w:hAnsi="Times New Roman CYR" w:cs="Times New Roman CYR"/>
          <w:sz w:val="28"/>
          <w:szCs w:val="28"/>
        </w:rPr>
        <w:t>Велижский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3C58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C43C58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и разместить настоящий приказ на официальном сайте Администрации муниципального образования 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537C5B">
        <w:rPr>
          <w:rFonts w:ascii="Times New Roman CYR" w:hAnsi="Times New Roman CYR" w:cs="Times New Roman CYR"/>
          <w:sz w:val="28"/>
          <w:szCs w:val="28"/>
        </w:rPr>
        <w:t>Велижский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3C58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537C5B"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C43C58"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  <w:r w:rsidRPr="00BC7AEE">
        <w:rPr>
          <w:rFonts w:ascii="Times New Roman CYR" w:hAnsi="Times New Roman CYR" w:cs="Times New Roman CYR"/>
          <w:sz w:val="28"/>
          <w:szCs w:val="28"/>
        </w:rPr>
        <w:t>в разделе «Финансы» в сети Интернет.</w:t>
      </w:r>
      <w:proofErr w:type="gramEnd"/>
    </w:p>
    <w:p w:rsidR="00E506B0" w:rsidRPr="00BC7AEE" w:rsidRDefault="00E506B0" w:rsidP="00E506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6.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приказа  возложить на заместителя начальника Финансового управления Администрации муниципального образования </w:t>
      </w:r>
      <w:r w:rsidR="008D6B54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8D6B54">
        <w:rPr>
          <w:rFonts w:ascii="Times New Roman CYR" w:hAnsi="Times New Roman CYR" w:cs="Times New Roman CYR"/>
          <w:sz w:val="28"/>
          <w:szCs w:val="28"/>
        </w:rPr>
        <w:t>Велижский</w:t>
      </w:r>
      <w:r w:rsidR="008D6B54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6F1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8D6B54"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AF26F1"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  <w:proofErr w:type="spellStart"/>
      <w:r w:rsidR="00AF26F1">
        <w:rPr>
          <w:rFonts w:ascii="Times New Roman CYR" w:hAnsi="Times New Roman CYR" w:cs="Times New Roman CYR"/>
          <w:sz w:val="28"/>
          <w:szCs w:val="28"/>
        </w:rPr>
        <w:t>О</w:t>
      </w:r>
      <w:r w:rsidR="008D6B54">
        <w:rPr>
          <w:rFonts w:ascii="Times New Roman CYR" w:hAnsi="Times New Roman CYR" w:cs="Times New Roman CYR"/>
          <w:sz w:val="28"/>
          <w:szCs w:val="28"/>
        </w:rPr>
        <w:t>.</w:t>
      </w:r>
      <w:r w:rsidR="00AF26F1">
        <w:rPr>
          <w:rFonts w:ascii="Times New Roman CYR" w:hAnsi="Times New Roman CYR" w:cs="Times New Roman CYR"/>
          <w:sz w:val="28"/>
          <w:szCs w:val="28"/>
        </w:rPr>
        <w:t>В</w:t>
      </w:r>
      <w:r w:rsidR="008D6B54">
        <w:rPr>
          <w:rFonts w:ascii="Times New Roman CYR" w:hAnsi="Times New Roman CYR" w:cs="Times New Roman CYR"/>
          <w:sz w:val="28"/>
          <w:szCs w:val="28"/>
        </w:rPr>
        <w:t>.</w:t>
      </w:r>
      <w:r w:rsidR="00AF26F1">
        <w:rPr>
          <w:rFonts w:ascii="Times New Roman CYR" w:hAnsi="Times New Roman CYR" w:cs="Times New Roman CYR"/>
          <w:sz w:val="28"/>
          <w:szCs w:val="28"/>
        </w:rPr>
        <w:t>Коновалову</w:t>
      </w:r>
      <w:proofErr w:type="spellEnd"/>
      <w:r w:rsidR="00AF26F1">
        <w:rPr>
          <w:rFonts w:ascii="Times New Roman CYR" w:hAnsi="Times New Roman CYR" w:cs="Times New Roman CYR"/>
          <w:sz w:val="28"/>
          <w:szCs w:val="28"/>
        </w:rPr>
        <w:t>.</w:t>
      </w:r>
    </w:p>
    <w:p w:rsidR="00E506B0" w:rsidRPr="00BC7AEE" w:rsidRDefault="00E506B0" w:rsidP="00E506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Начальник Финансового управления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 </w:t>
      </w:r>
    </w:p>
    <w:p w:rsidR="00AF26F1" w:rsidRDefault="008D6B54" w:rsidP="008D6B54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Велижский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6F1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AF26F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85ED8" w:rsidRPr="00522879" w:rsidRDefault="00AF26F1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Смоленской области</w:t>
      </w:r>
      <w:r w:rsidR="008D6B54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6B5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8D6B54">
        <w:rPr>
          <w:rFonts w:ascii="Times New Roman CYR" w:hAnsi="Times New Roman CYR" w:cs="Times New Roman CYR"/>
          <w:sz w:val="28"/>
          <w:szCs w:val="28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С.М.Миронова</w:t>
      </w:r>
      <w:proofErr w:type="spellEnd"/>
      <w:r w:rsidR="00E506B0" w:rsidRPr="00BC7AEE">
        <w:rPr>
          <w:rFonts w:ascii="Times New Roman CYR" w:hAnsi="Times New Roman CYR" w:cs="Times New Roman CYR"/>
          <w:sz w:val="28"/>
          <w:szCs w:val="28"/>
        </w:rPr>
        <w:br w:type="page"/>
      </w:r>
      <w:r w:rsidR="0008692F" w:rsidRPr="00522879"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E506B0" w:rsidRPr="00522879">
        <w:rPr>
          <w:rFonts w:ascii="Times New Roman CYR" w:hAnsi="Times New Roman CYR" w:cs="Times New Roman CYR"/>
          <w:sz w:val="24"/>
          <w:szCs w:val="24"/>
        </w:rPr>
        <w:t xml:space="preserve">Приложение №1 </w:t>
      </w:r>
      <w:proofErr w:type="gramStart"/>
      <w:r w:rsidR="00E506B0" w:rsidRPr="00522879"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="00E506B0"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506B0" w:rsidRPr="00522879" w:rsidRDefault="00985ED8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приказу </w:t>
      </w:r>
      <w:r w:rsidR="00E506B0" w:rsidRPr="00522879">
        <w:rPr>
          <w:rFonts w:ascii="Times New Roman CYR" w:hAnsi="Times New Roman CYR" w:cs="Times New Roman CYR"/>
          <w:sz w:val="24"/>
          <w:szCs w:val="24"/>
        </w:rPr>
        <w:t xml:space="preserve">Финансового управления </w:t>
      </w:r>
    </w:p>
    <w:p w:rsidR="00E506B0" w:rsidRPr="00522879" w:rsidRDefault="00E506B0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Администрации </w:t>
      </w:r>
      <w:proofErr w:type="gramStart"/>
      <w:r w:rsidRPr="00522879">
        <w:rPr>
          <w:rFonts w:ascii="Times New Roman CYR" w:hAnsi="Times New Roman CYR" w:cs="Times New Roman CYR"/>
          <w:sz w:val="24"/>
          <w:szCs w:val="24"/>
        </w:rPr>
        <w:t>муниципального</w:t>
      </w:r>
      <w:proofErr w:type="gramEnd"/>
    </w:p>
    <w:p w:rsidR="00D72C19" w:rsidRPr="00522879" w:rsidRDefault="00E506B0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 образования </w:t>
      </w:r>
      <w:r w:rsidR="00812826" w:rsidRPr="00522879">
        <w:rPr>
          <w:rFonts w:ascii="Times New Roman CYR" w:hAnsi="Times New Roman CYR" w:cs="Times New Roman CYR"/>
          <w:sz w:val="24"/>
          <w:szCs w:val="24"/>
        </w:rPr>
        <w:t>«Велижский</w:t>
      </w:r>
    </w:p>
    <w:p w:rsidR="00D72C19" w:rsidRPr="00522879" w:rsidRDefault="00812826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72C19" w:rsidRPr="00522879">
        <w:rPr>
          <w:rFonts w:ascii="Times New Roman CYR" w:hAnsi="Times New Roman CYR" w:cs="Times New Roman CYR"/>
          <w:sz w:val="24"/>
          <w:szCs w:val="24"/>
        </w:rPr>
        <w:t>муниципальный округ</w:t>
      </w:r>
      <w:r w:rsidRPr="00522879">
        <w:rPr>
          <w:rFonts w:ascii="Times New Roman CYR" w:hAnsi="Times New Roman CYR" w:cs="Times New Roman CYR"/>
          <w:sz w:val="24"/>
          <w:szCs w:val="24"/>
        </w:rPr>
        <w:t>»</w:t>
      </w:r>
    </w:p>
    <w:p w:rsidR="00E506B0" w:rsidRPr="00522879" w:rsidRDefault="00D72C19" w:rsidP="0052287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 Смоленской области</w:t>
      </w:r>
    </w:p>
    <w:p w:rsidR="00E506B0" w:rsidRPr="00522879" w:rsidRDefault="00AF011F" w:rsidP="00522879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720D" w:rsidRPr="00522879"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06B0" w:rsidRPr="00522879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6B2354" w:rsidRPr="00522879">
        <w:rPr>
          <w:rFonts w:ascii="Times New Roman CYR" w:hAnsi="Times New Roman CYR" w:cs="Times New Roman CYR"/>
          <w:sz w:val="24"/>
          <w:szCs w:val="24"/>
        </w:rPr>
        <w:t>03.02.</w:t>
      </w:r>
      <w:r w:rsidR="002768E0" w:rsidRPr="00522879">
        <w:rPr>
          <w:rFonts w:ascii="Times New Roman CYR" w:hAnsi="Times New Roman CYR" w:cs="Times New Roman CYR"/>
          <w:sz w:val="24"/>
          <w:szCs w:val="24"/>
        </w:rPr>
        <w:t>202</w:t>
      </w:r>
      <w:r w:rsidRPr="00522879">
        <w:rPr>
          <w:rFonts w:ascii="Times New Roman CYR" w:hAnsi="Times New Roman CYR" w:cs="Times New Roman CYR"/>
          <w:sz w:val="24"/>
          <w:szCs w:val="24"/>
        </w:rPr>
        <w:t>5</w:t>
      </w:r>
      <w:r w:rsidR="00AA034F"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720D" w:rsidRPr="005228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A034F" w:rsidRPr="00522879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E506B0" w:rsidRPr="00522879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6B2354" w:rsidRPr="00522879">
        <w:rPr>
          <w:rFonts w:ascii="Times New Roman CYR" w:hAnsi="Times New Roman CYR" w:cs="Times New Roman CYR"/>
          <w:sz w:val="24"/>
          <w:szCs w:val="24"/>
        </w:rPr>
        <w:t>7А</w:t>
      </w:r>
    </w:p>
    <w:p w:rsidR="0077720D" w:rsidRPr="00BC7AEE" w:rsidRDefault="0077720D" w:rsidP="0077720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right="727" w:firstLine="709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86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E506B0" w:rsidRPr="00812826" w:rsidRDefault="00E506B0" w:rsidP="00812826">
      <w:pPr>
        <w:autoSpaceDE w:val="0"/>
        <w:autoSpaceDN w:val="0"/>
        <w:adjustRightInd w:val="0"/>
        <w:spacing w:before="5"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проведения </w:t>
      </w:r>
      <w:proofErr w:type="gramStart"/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мониторинга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образования </w:t>
      </w:r>
      <w:r w:rsidR="00812826" w:rsidRPr="00812826">
        <w:rPr>
          <w:rFonts w:ascii="Times New Roman CYR" w:hAnsi="Times New Roman CYR" w:cs="Times New Roman CYR"/>
          <w:b/>
          <w:sz w:val="28"/>
          <w:szCs w:val="28"/>
        </w:rPr>
        <w:t xml:space="preserve">«Велижский </w:t>
      </w:r>
      <w:r w:rsidR="00A37FAE">
        <w:rPr>
          <w:rFonts w:ascii="Times New Roman CYR" w:hAnsi="Times New Roman CYR" w:cs="Times New Roman CYR"/>
          <w:b/>
          <w:sz w:val="28"/>
          <w:szCs w:val="28"/>
        </w:rPr>
        <w:t>муниципальный округ</w:t>
      </w:r>
      <w:r w:rsidR="00812826" w:rsidRPr="00812826">
        <w:rPr>
          <w:rFonts w:ascii="Times New Roman CYR" w:hAnsi="Times New Roman CYR" w:cs="Times New Roman CYR"/>
          <w:b/>
          <w:sz w:val="28"/>
          <w:szCs w:val="28"/>
        </w:rPr>
        <w:t>»</w:t>
      </w:r>
      <w:r w:rsidR="00A37FAE">
        <w:rPr>
          <w:rFonts w:ascii="Times New Roman CYR" w:hAnsi="Times New Roman CYR" w:cs="Times New Roman CYR"/>
          <w:b/>
          <w:sz w:val="28"/>
          <w:szCs w:val="28"/>
        </w:rPr>
        <w:t xml:space="preserve"> Смоленской области</w:t>
      </w:r>
    </w:p>
    <w:p w:rsidR="00E506B0" w:rsidRPr="00BC7AEE" w:rsidRDefault="00E506B0" w:rsidP="00E506B0">
      <w:pPr>
        <w:autoSpaceDE w:val="0"/>
        <w:autoSpaceDN w:val="0"/>
        <w:adjustRightInd w:val="0"/>
        <w:spacing w:before="53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1. Общие положения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34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1.1 Настоящий Порядок определяет организацию проведения мониторинга качества финансового менеджмента, осуществляемого в отношении главных администраторов средств бюджета муниципального образования 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812826">
        <w:rPr>
          <w:rFonts w:ascii="Times New Roman CYR" w:hAnsi="Times New Roman CYR" w:cs="Times New Roman CYR"/>
          <w:sz w:val="28"/>
          <w:szCs w:val="28"/>
        </w:rPr>
        <w:t>Велижский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7FAE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A37FAE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>(далее – местный бюджет), включая расчет значений показателей (далее также - оценка) и анализ значений показателей (далее также – анализ) качества финансового менеджмента.</w:t>
      </w:r>
    </w:p>
    <w:p w:rsidR="00E506B0" w:rsidRPr="00BC7AEE" w:rsidRDefault="00E506B0" w:rsidP="00E506B0">
      <w:pPr>
        <w:tabs>
          <w:tab w:val="left" w:pos="98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1.2.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Оценка качества финансового менеджмента главных администраторов средств местного бюджета (далее также – главный администратор)  проводится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для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>: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определения текущего уровня качества финансового менеджмента главных администраторов;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анализа  качества финансового менеджмента главных администраторов;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оценки среднего уровня качества финансового менеджмента главных администраторов.</w:t>
      </w:r>
    </w:p>
    <w:p w:rsidR="00E506B0" w:rsidRPr="00BC7AEE" w:rsidRDefault="00E506B0" w:rsidP="00E506B0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Оценке подлежат главные администраторы (главные  распорядители бюджетных средств, главные администраторы доходов местного бюджета, главные администраторы источников финансирования дефицита местного бюджета) в соответствии с решением о местном бюджете  на очередной финансовый год и плановый период.</w:t>
      </w:r>
    </w:p>
    <w:p w:rsidR="00E506B0" w:rsidRPr="00BC7AEE" w:rsidRDefault="00E506B0" w:rsidP="00E506B0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Оценка качества финансового менеджмента главных администраторов  осуществляется по двум группам.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К первой группе относятся главные администраторы, имеющие подведомственные муниципальные учреждения, ко второй группе - главные администраторы, не имеющие подведомственные муниципальные учреждения.</w:t>
      </w:r>
    </w:p>
    <w:p w:rsidR="00E506B0" w:rsidRPr="00BC7AEE" w:rsidRDefault="00E506B0" w:rsidP="00E506B0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1.5.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В целях обеспечения систематического мониторинга качества финансового менеджмента оценка качества проводится за отчетный финансовый год  до 15 июня года, следующего за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отчетным</w:t>
      </w:r>
      <w:proofErr w:type="gramEnd"/>
      <w:r w:rsidR="00B7231E">
        <w:rPr>
          <w:rFonts w:ascii="Times New Roman CYR" w:hAnsi="Times New Roman CYR" w:cs="Times New Roman CYR"/>
          <w:sz w:val="28"/>
          <w:szCs w:val="28"/>
        </w:rPr>
        <w:t>.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506B0" w:rsidRPr="00BC7AEE" w:rsidRDefault="00E506B0" w:rsidP="00E506B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1.6 Оценка качества финансового менеджмента проводится на основании данных главных администраторов в соответствии с утвержденной настоящим приказом Методикой расчета и анализа значений показателей качества финансового менеджмента главных администраторов средств бюджета муниципального образования</w:t>
      </w:r>
      <w:r w:rsidR="008128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812826">
        <w:rPr>
          <w:rFonts w:ascii="Times New Roman CYR" w:hAnsi="Times New Roman CYR" w:cs="Times New Roman CYR"/>
          <w:sz w:val="28"/>
          <w:szCs w:val="28"/>
        </w:rPr>
        <w:t>Велижский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243A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7F243A">
        <w:rPr>
          <w:rFonts w:ascii="Times New Roman CYR" w:hAnsi="Times New Roman CYR" w:cs="Times New Roman CYR"/>
          <w:sz w:val="28"/>
          <w:szCs w:val="28"/>
        </w:rPr>
        <w:t xml:space="preserve">Смоленской </w:t>
      </w:r>
      <w:r w:rsidR="007F243A">
        <w:rPr>
          <w:rFonts w:ascii="Times New Roman CYR" w:hAnsi="Times New Roman CYR" w:cs="Times New Roman CYR"/>
          <w:sz w:val="28"/>
          <w:szCs w:val="28"/>
        </w:rPr>
        <w:lastRenderedPageBreak/>
        <w:t>области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(далее - Методика)  по показателям, представленным в приложении № 1 к Методике.</w:t>
      </w:r>
      <w:proofErr w:type="gramEnd"/>
    </w:p>
    <w:p w:rsidR="00E506B0" w:rsidRPr="00BC7AEE" w:rsidRDefault="00E506B0" w:rsidP="00E506B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1.7. Главные администраторы в соответствии с перечнем показателей, указанных в приложении 1 к Методике, представляют в финансовое управление информацию, необходимую для оценки  качества финансового менеджмента в срок до 1 июня года, следующего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отчетным, по форме, приведенной в приложении  № 2  к Методике.</w:t>
      </w:r>
    </w:p>
    <w:p w:rsidR="00E506B0" w:rsidRPr="00BC7AEE" w:rsidRDefault="00E506B0" w:rsidP="00E506B0">
      <w:pPr>
        <w:tabs>
          <w:tab w:val="left" w:pos="567"/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1.8. Ответственные лица финансового управления вправе проводить проверку представляемой информации, получать в этих целях подтверждающие документы и материалы.</w:t>
      </w:r>
    </w:p>
    <w:p w:rsidR="00E506B0" w:rsidRPr="00BC7AEE" w:rsidRDefault="00E506B0" w:rsidP="00E506B0">
      <w:pPr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1.9.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Для проведения оценки качества финансового менеджмента используются следующие источники информации:</w:t>
      </w:r>
    </w:p>
    <w:p w:rsidR="00E506B0" w:rsidRPr="00BC7AEE" w:rsidRDefault="00E506B0" w:rsidP="00E506B0">
      <w:pPr>
        <w:tabs>
          <w:tab w:val="left" w:pos="850"/>
        </w:tabs>
        <w:autoSpaceDE w:val="0"/>
        <w:autoSpaceDN w:val="0"/>
        <w:adjustRightInd w:val="0"/>
        <w:spacing w:before="53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годовые отчеты главных администраторов и муниципальных  учреждений;</w:t>
      </w:r>
    </w:p>
    <w:p w:rsidR="00E506B0" w:rsidRPr="00BC7AEE" w:rsidRDefault="00E506B0" w:rsidP="00E506B0">
      <w:pPr>
        <w:tabs>
          <w:tab w:val="left" w:pos="68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 результаты проведенных в течение отчетного периода (год) контрольно-ревизионных мероприятий;</w:t>
      </w:r>
    </w:p>
    <w:p w:rsidR="00E506B0" w:rsidRPr="00BC7AEE" w:rsidRDefault="006A1C7E" w:rsidP="002B0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E506B0" w:rsidRPr="00BC7AEE">
        <w:rPr>
          <w:rFonts w:ascii="Times New Roman CYR" w:hAnsi="Times New Roman CYR" w:cs="Times New Roman CYR"/>
          <w:sz w:val="28"/>
          <w:szCs w:val="28"/>
        </w:rPr>
        <w:t>пояснительные  записки  структурных  подразделений     Администраци</w:t>
      </w:r>
      <w:r w:rsidR="00812826">
        <w:rPr>
          <w:rFonts w:ascii="Times New Roman CYR" w:hAnsi="Times New Roman CYR" w:cs="Times New Roman CYR"/>
          <w:sz w:val="28"/>
          <w:szCs w:val="28"/>
        </w:rPr>
        <w:t>и</w:t>
      </w:r>
      <w:r w:rsidR="00E506B0" w:rsidRPr="00BC7AEE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812826">
        <w:rPr>
          <w:rFonts w:ascii="Times New Roman CYR" w:hAnsi="Times New Roman CYR" w:cs="Times New Roman CYR"/>
          <w:sz w:val="28"/>
          <w:szCs w:val="28"/>
        </w:rPr>
        <w:t>Велижский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0F9D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812826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2B0F9D">
        <w:rPr>
          <w:rFonts w:ascii="Times New Roman CYR" w:hAnsi="Times New Roman CYR" w:cs="Times New Roman CYR"/>
          <w:sz w:val="28"/>
          <w:szCs w:val="28"/>
        </w:rPr>
        <w:t xml:space="preserve"> Смоленской области;</w:t>
      </w:r>
    </w:p>
    <w:p w:rsidR="00E506B0" w:rsidRPr="00BC7AEE" w:rsidRDefault="006A1C7E" w:rsidP="00E506B0">
      <w:pPr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E506B0" w:rsidRPr="00BC7AEE">
        <w:rPr>
          <w:rFonts w:ascii="Times New Roman CYR" w:hAnsi="Times New Roman CYR" w:cs="Times New Roman CYR"/>
          <w:sz w:val="28"/>
          <w:szCs w:val="28"/>
        </w:rPr>
        <w:t>иные документы и материалы.</w:t>
      </w:r>
    </w:p>
    <w:p w:rsidR="00E506B0" w:rsidRPr="00BC7AEE" w:rsidRDefault="00EF4238" w:rsidP="00E506B0">
      <w:pPr>
        <w:numPr>
          <w:ilvl w:val="12"/>
          <w:numId w:val="0"/>
        </w:num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тдел прогнозирования доходов и финансирования производственной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сферы </w:t>
      </w:r>
      <w:r w:rsidR="004A7A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(</w:t>
      </w:r>
      <w:proofErr w:type="spellStart"/>
      <w:r w:rsidR="004A7A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Н.</w:t>
      </w:r>
      <w:r w:rsidR="006526F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4A7A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6526F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Солдатова</w:t>
      </w:r>
      <w:proofErr w:type="spellEnd"/>
      <w:r w:rsidR="004A7A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</w:t>
      </w:r>
      <w:r w:rsidR="00E506B0" w:rsidRPr="00BC7AEE">
        <w:rPr>
          <w:rFonts w:ascii="Times New Roman CYR" w:hAnsi="Times New Roman CYR" w:cs="Times New Roman CYR"/>
          <w:sz w:val="28"/>
          <w:szCs w:val="28"/>
        </w:rPr>
        <w:t xml:space="preserve"> обеспечивает направление </w:t>
      </w:r>
      <w:proofErr w:type="gramStart"/>
      <w:r w:rsidR="00E506B0" w:rsidRPr="00BC7AEE">
        <w:rPr>
          <w:rFonts w:ascii="Times New Roman CYR" w:hAnsi="Times New Roman CYR" w:cs="Times New Roman CYR"/>
          <w:sz w:val="28"/>
          <w:szCs w:val="28"/>
        </w:rPr>
        <w:t>результатов проведенной оценки качества финансового менеджмента соответствующего главного администратора</w:t>
      </w:r>
      <w:proofErr w:type="gramEnd"/>
      <w:r w:rsidR="00E506B0" w:rsidRPr="00BC7AEE">
        <w:rPr>
          <w:rFonts w:ascii="Times New Roman CYR" w:hAnsi="Times New Roman CYR" w:cs="Times New Roman CYR"/>
          <w:sz w:val="28"/>
          <w:szCs w:val="28"/>
        </w:rPr>
        <w:t xml:space="preserve">  за отчетный период до соответствующего главного администратора  по форме согласно приложению № 3 к Методике.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1.10.</w:t>
      </w:r>
      <w:r w:rsidRPr="00BC7AEE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 xml:space="preserve">На основании результатов итоговой оценки  качества финансового менеджмента главных администраторов </w:t>
      </w:r>
      <w:r w:rsidR="00EF4238">
        <w:rPr>
          <w:rFonts w:ascii="Times New Roman CYR" w:hAnsi="Times New Roman CYR" w:cs="Times New Roman CYR"/>
          <w:sz w:val="28"/>
          <w:szCs w:val="28"/>
        </w:rPr>
        <w:t>О</w:t>
      </w:r>
      <w:r w:rsidR="00EF4238" w:rsidRPr="001F4B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тдел прогнозирования доходов и финансирования производственной</w:t>
      </w:r>
      <w:r w:rsidR="00EF423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сферы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EF4238">
        <w:rPr>
          <w:rFonts w:ascii="Times New Roman CYR" w:hAnsi="Times New Roman CYR" w:cs="Times New Roman CYR"/>
          <w:sz w:val="28"/>
          <w:szCs w:val="28"/>
        </w:rPr>
        <w:t>Н</w:t>
      </w:r>
      <w:r w:rsidRPr="00BC7AEE">
        <w:rPr>
          <w:rFonts w:ascii="Times New Roman CYR" w:hAnsi="Times New Roman CYR" w:cs="Times New Roman CYR"/>
          <w:sz w:val="28"/>
          <w:szCs w:val="28"/>
        </w:rPr>
        <w:t>.</w:t>
      </w:r>
      <w:r w:rsidR="00AA034F">
        <w:rPr>
          <w:rFonts w:ascii="Times New Roman CYR" w:hAnsi="Times New Roman CYR" w:cs="Times New Roman CYR"/>
          <w:sz w:val="28"/>
          <w:szCs w:val="28"/>
        </w:rPr>
        <w:t>А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A034F">
        <w:rPr>
          <w:rFonts w:ascii="Times New Roman CYR" w:hAnsi="Times New Roman CYR" w:cs="Times New Roman CYR"/>
          <w:sz w:val="28"/>
          <w:szCs w:val="28"/>
        </w:rPr>
        <w:t>Солдатова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) в срок до 10 июля  текущего финансового года  формирует сводный рейтинг главных администраторов по форме согласно приложению № 4 к Методике и размещает на официальном сайте Администрации  муниципального образования </w:t>
      </w:r>
      <w:r w:rsidR="00DD5D68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DD5D68">
        <w:rPr>
          <w:rFonts w:ascii="Times New Roman CYR" w:hAnsi="Times New Roman CYR" w:cs="Times New Roman CYR"/>
          <w:sz w:val="28"/>
          <w:szCs w:val="28"/>
        </w:rPr>
        <w:t>Велижский</w:t>
      </w:r>
      <w:r w:rsidR="00DD5D68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746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DD5D68" w:rsidRPr="00BC7AEE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EE6746"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  <w:r w:rsidRPr="00BC7AEE">
        <w:rPr>
          <w:rFonts w:ascii="Times New Roman CYR" w:hAnsi="Times New Roman CYR" w:cs="Times New Roman CYR"/>
          <w:sz w:val="28"/>
          <w:szCs w:val="28"/>
        </w:rPr>
        <w:t>в разделе  «Финансы».</w:t>
      </w:r>
      <w:proofErr w:type="gramEnd"/>
    </w:p>
    <w:p w:rsidR="00E506B0" w:rsidRDefault="00E506B0" w:rsidP="00E506B0">
      <w:pPr>
        <w:numPr>
          <w:ilvl w:val="12"/>
          <w:numId w:val="0"/>
        </w:num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1.11. Результаты мониторинга качества финансового менеджмента учитываются при оценке деятельности главных администраторов.</w:t>
      </w:r>
    </w:p>
    <w:p w:rsidR="00DD5D68" w:rsidRPr="00BC7AEE" w:rsidRDefault="00DD5D68" w:rsidP="00E506B0">
      <w:pPr>
        <w:numPr>
          <w:ilvl w:val="12"/>
          <w:numId w:val="0"/>
        </w:num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3CAB" w:rsidRDefault="00BA3CAB" w:rsidP="00E506B0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E506B0" w:rsidRPr="00812ECF" w:rsidRDefault="004144D1" w:rsidP="00E506B0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812ECF">
        <w:rPr>
          <w:rFonts w:ascii="Times New Roman CYR" w:hAnsi="Times New Roman CYR" w:cs="Times New Roman CYR"/>
          <w:sz w:val="24"/>
          <w:szCs w:val="24"/>
        </w:rPr>
        <w:t>Пр</w:t>
      </w:r>
      <w:r w:rsidR="00E506B0" w:rsidRPr="00812ECF">
        <w:rPr>
          <w:rFonts w:ascii="Times New Roman CYR" w:hAnsi="Times New Roman CYR" w:cs="Times New Roman CYR"/>
          <w:sz w:val="24"/>
          <w:szCs w:val="24"/>
        </w:rPr>
        <w:t>иложение №2 к приказу</w:t>
      </w:r>
    </w:p>
    <w:p w:rsidR="00E506B0" w:rsidRPr="00812ECF" w:rsidRDefault="00E506B0" w:rsidP="00E506B0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812ECF">
        <w:rPr>
          <w:rFonts w:ascii="Times New Roman CYR" w:hAnsi="Times New Roman CYR" w:cs="Times New Roman CYR"/>
          <w:sz w:val="24"/>
          <w:szCs w:val="24"/>
        </w:rPr>
        <w:t xml:space="preserve">Финансового управления </w:t>
      </w:r>
    </w:p>
    <w:p w:rsidR="00E506B0" w:rsidRPr="00812ECF" w:rsidRDefault="00E506B0" w:rsidP="00E506B0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812ECF">
        <w:rPr>
          <w:rFonts w:ascii="Times New Roman CYR" w:hAnsi="Times New Roman CYR" w:cs="Times New Roman CYR"/>
          <w:sz w:val="24"/>
          <w:szCs w:val="24"/>
        </w:rPr>
        <w:t xml:space="preserve">Администрации </w:t>
      </w:r>
      <w:proofErr w:type="gramStart"/>
      <w:r w:rsidRPr="00812ECF">
        <w:rPr>
          <w:rFonts w:ascii="Times New Roman CYR" w:hAnsi="Times New Roman CYR" w:cs="Times New Roman CYR"/>
          <w:sz w:val="24"/>
          <w:szCs w:val="24"/>
        </w:rPr>
        <w:t>муниципального</w:t>
      </w:r>
      <w:proofErr w:type="gramEnd"/>
    </w:p>
    <w:p w:rsidR="00E07EC5" w:rsidRPr="00812ECF" w:rsidRDefault="00E506B0" w:rsidP="00DD5D68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812ECF">
        <w:rPr>
          <w:rFonts w:ascii="Times New Roman CYR" w:hAnsi="Times New Roman CYR" w:cs="Times New Roman CYR"/>
          <w:sz w:val="24"/>
          <w:szCs w:val="24"/>
        </w:rPr>
        <w:t xml:space="preserve"> образования </w:t>
      </w:r>
      <w:r w:rsidR="00DD5D68" w:rsidRPr="00812ECF">
        <w:rPr>
          <w:rFonts w:ascii="Times New Roman CYR" w:hAnsi="Times New Roman CYR" w:cs="Times New Roman CYR"/>
          <w:sz w:val="24"/>
          <w:szCs w:val="24"/>
        </w:rPr>
        <w:t xml:space="preserve">«Велижский </w:t>
      </w:r>
      <w:proofErr w:type="gramStart"/>
      <w:r w:rsidR="00E07EC5" w:rsidRPr="00812ECF">
        <w:rPr>
          <w:rFonts w:ascii="Times New Roman CYR" w:hAnsi="Times New Roman CYR" w:cs="Times New Roman CYR"/>
          <w:sz w:val="24"/>
          <w:szCs w:val="24"/>
        </w:rPr>
        <w:t>муниципальный</w:t>
      </w:r>
      <w:proofErr w:type="gramEnd"/>
    </w:p>
    <w:p w:rsidR="00E506B0" w:rsidRPr="00812ECF" w:rsidRDefault="00E07EC5" w:rsidP="00DD5D68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812ECF">
        <w:rPr>
          <w:rFonts w:ascii="Times New Roman CYR" w:hAnsi="Times New Roman CYR" w:cs="Times New Roman CYR"/>
          <w:sz w:val="24"/>
          <w:szCs w:val="24"/>
        </w:rPr>
        <w:t xml:space="preserve"> округ</w:t>
      </w:r>
      <w:r w:rsidR="00DD5D68" w:rsidRPr="00812ECF">
        <w:rPr>
          <w:rFonts w:ascii="Times New Roman CYR" w:hAnsi="Times New Roman CYR" w:cs="Times New Roman CYR"/>
          <w:sz w:val="24"/>
          <w:szCs w:val="24"/>
        </w:rPr>
        <w:t>»</w:t>
      </w:r>
      <w:r w:rsidRPr="00812ECF">
        <w:rPr>
          <w:rFonts w:ascii="Times New Roman CYR" w:hAnsi="Times New Roman CYR" w:cs="Times New Roman CYR"/>
          <w:sz w:val="24"/>
          <w:szCs w:val="24"/>
        </w:rPr>
        <w:t xml:space="preserve"> Смоленской области</w:t>
      </w:r>
    </w:p>
    <w:p w:rsidR="00E506B0" w:rsidRPr="00812ECF" w:rsidRDefault="00E506B0" w:rsidP="00E506B0">
      <w:pPr>
        <w:widowControl w:val="0"/>
        <w:numPr>
          <w:ilvl w:val="12"/>
          <w:numId w:val="0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812ECF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DD5D68" w:rsidRPr="00812EC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15C5B" w:rsidRPr="00812ECF">
        <w:rPr>
          <w:rFonts w:ascii="Times New Roman CYR" w:hAnsi="Times New Roman CYR" w:cs="Times New Roman CYR"/>
          <w:sz w:val="24"/>
          <w:szCs w:val="24"/>
        </w:rPr>
        <w:t>03.02.</w:t>
      </w:r>
      <w:r w:rsidR="00B10B56" w:rsidRPr="00812ECF">
        <w:rPr>
          <w:rFonts w:ascii="Times New Roman CYR" w:hAnsi="Times New Roman CYR" w:cs="Times New Roman CYR"/>
          <w:sz w:val="24"/>
          <w:szCs w:val="24"/>
        </w:rPr>
        <w:t>202</w:t>
      </w:r>
      <w:r w:rsidR="00E07EC5" w:rsidRPr="00812ECF">
        <w:rPr>
          <w:rFonts w:ascii="Times New Roman CYR" w:hAnsi="Times New Roman CYR" w:cs="Times New Roman CYR"/>
          <w:sz w:val="24"/>
          <w:szCs w:val="24"/>
        </w:rPr>
        <w:t>5</w:t>
      </w:r>
      <w:r w:rsidRPr="00812ECF">
        <w:rPr>
          <w:rFonts w:ascii="Times New Roman CYR" w:hAnsi="Times New Roman CYR" w:cs="Times New Roman CYR"/>
          <w:sz w:val="24"/>
          <w:szCs w:val="24"/>
        </w:rPr>
        <w:t xml:space="preserve">  № </w:t>
      </w:r>
      <w:r w:rsidR="00915C5B" w:rsidRPr="00812ECF">
        <w:rPr>
          <w:rFonts w:ascii="Times New Roman CYR" w:hAnsi="Times New Roman CYR" w:cs="Times New Roman CYR"/>
          <w:sz w:val="24"/>
          <w:szCs w:val="24"/>
        </w:rPr>
        <w:t>7А</w:t>
      </w:r>
      <w:r w:rsidR="00E07EC5" w:rsidRPr="00812ECF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DC57AF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82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МЕТОДИКА 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82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 xml:space="preserve">расчета и анализа </w:t>
      </w:r>
      <w:proofErr w:type="gramStart"/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значений показателей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образования </w:t>
      </w:r>
      <w:r w:rsidR="00E951E7" w:rsidRPr="00E951E7">
        <w:rPr>
          <w:rFonts w:ascii="Times New Roman CYR" w:hAnsi="Times New Roman CYR" w:cs="Times New Roman CYR"/>
          <w:b/>
          <w:sz w:val="28"/>
          <w:szCs w:val="28"/>
        </w:rPr>
        <w:t xml:space="preserve">«Велижский </w:t>
      </w:r>
      <w:r w:rsidR="00177ED1">
        <w:rPr>
          <w:rFonts w:ascii="Times New Roman CYR" w:hAnsi="Times New Roman CYR" w:cs="Times New Roman CYR"/>
          <w:b/>
          <w:sz w:val="28"/>
          <w:szCs w:val="28"/>
        </w:rPr>
        <w:t>муниципальный округ</w:t>
      </w:r>
      <w:r w:rsidR="00E951E7" w:rsidRPr="00E951E7">
        <w:rPr>
          <w:rFonts w:ascii="Times New Roman CYR" w:hAnsi="Times New Roman CYR" w:cs="Times New Roman CYR"/>
          <w:b/>
          <w:sz w:val="28"/>
          <w:szCs w:val="28"/>
        </w:rPr>
        <w:t>»</w:t>
      </w:r>
      <w:r w:rsidR="00177ED1">
        <w:rPr>
          <w:rFonts w:ascii="Times New Roman CYR" w:hAnsi="Times New Roman CYR" w:cs="Times New Roman CYR"/>
          <w:b/>
          <w:sz w:val="28"/>
          <w:szCs w:val="28"/>
        </w:rPr>
        <w:t xml:space="preserve"> Смоленской области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53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 Общие положения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34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Методика расчета и анализа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значений показателей качества финансового менеджмента главных администраторов средств бюджета муниципального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образования </w:t>
      </w:r>
      <w:r w:rsidR="00E74866" w:rsidRPr="00BC7AEE">
        <w:rPr>
          <w:rFonts w:ascii="Times New Roman CYR" w:hAnsi="Times New Roman CYR" w:cs="Times New Roman CYR"/>
          <w:sz w:val="28"/>
          <w:szCs w:val="28"/>
        </w:rPr>
        <w:t>«</w:t>
      </w:r>
      <w:r w:rsidR="00E74866">
        <w:rPr>
          <w:rFonts w:ascii="Times New Roman CYR" w:hAnsi="Times New Roman CYR" w:cs="Times New Roman CYR"/>
          <w:sz w:val="28"/>
          <w:szCs w:val="28"/>
        </w:rPr>
        <w:t>Велижский</w:t>
      </w:r>
      <w:r w:rsidR="00E7486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58D6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E74866" w:rsidRPr="00BC7AEE">
        <w:rPr>
          <w:rFonts w:ascii="Times New Roman CYR" w:hAnsi="Times New Roman CYR" w:cs="Times New Roman CYR"/>
          <w:sz w:val="28"/>
          <w:szCs w:val="28"/>
        </w:rPr>
        <w:t>»</w:t>
      </w:r>
      <w:r w:rsidR="008E58D6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E74866" w:rsidRPr="00BC7A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>(далее - Методика) определяет состав показателей, характеризующих качество финансового менеджмента, а также алгоритм оценки  и анализа  качества финансового менеджмента главных администраторов и формирование сводного рейтинга главных администраторов  по качеству финансового менеджмента.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2117"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34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2. Показатели качества финансового менеджмента главных администраторов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2.1. Оценка качества финансового менеджмента производится по следующим направлениям:</w:t>
      </w:r>
    </w:p>
    <w:p w:rsidR="00E506B0" w:rsidRPr="00BC7AEE" w:rsidRDefault="00E506B0" w:rsidP="00E506B0">
      <w:p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оценка механизмов планирования доходов и расходов бюджета;</w:t>
      </w:r>
    </w:p>
    <w:p w:rsidR="00E506B0" w:rsidRPr="00BC7AEE" w:rsidRDefault="00E506B0" w:rsidP="00E506B0">
      <w:p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оценка результатов исполнения бюджета в части доходов и расходов;</w:t>
      </w:r>
    </w:p>
    <w:p w:rsidR="00E506B0" w:rsidRPr="00BC7AEE" w:rsidRDefault="00E506B0" w:rsidP="00E506B0">
      <w:p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оценка состояния учета и отчетности;</w:t>
      </w:r>
    </w:p>
    <w:p w:rsidR="00E506B0" w:rsidRPr="00BC7AEE" w:rsidRDefault="00E506B0" w:rsidP="00E506B0">
      <w:pPr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оценка организации финансового аудита.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2.2. Перечень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показателей оценки качества финансового менеджмента главных администраторов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приведен в приложении № 1 к Методике.</w:t>
      </w:r>
    </w:p>
    <w:p w:rsidR="00E506B0" w:rsidRPr="00BC7AEE" w:rsidRDefault="00E506B0" w:rsidP="004A5C35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2.3.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Перечень исходных данных для проведения оценки качества финансового менеджмента главных администраторов приведен в приложении</w:t>
      </w:r>
      <w:r w:rsidR="004A5C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 xml:space="preserve"> 2 к</w:t>
      </w:r>
      <w:r w:rsidR="004A5C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C7AEE">
        <w:rPr>
          <w:rFonts w:ascii="Times New Roman CYR" w:hAnsi="Times New Roman CYR" w:cs="Times New Roman CYR"/>
          <w:sz w:val="28"/>
          <w:szCs w:val="28"/>
        </w:rPr>
        <w:t>Методике.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Исходные данные и единицы измерения (графы 2, 3 приложения № 2 к Методике) определяются исходя из перечня показателей, приведенных в приложении 1 к Методике.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Источники информации, содержащие значения исходных данных, указаны в графе 4 приложения № 2 к Методике.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Данные в графу 5 приложения № 2 к Методике указанного перечня вносятся главными администраторами. В случае если главный администратор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E506B0" w:rsidRPr="00BC7AEE" w:rsidRDefault="00E506B0" w:rsidP="00E506B0">
      <w:pPr>
        <w:tabs>
          <w:tab w:val="left" w:pos="1075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2.4.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В случае если по отдельному главному администратору</w:t>
      </w:r>
      <w:r w:rsidRPr="00BC7AEE">
        <w:rPr>
          <w:rFonts w:ascii="Times New Roman CYR" w:hAnsi="Times New Roman CYR" w:cs="Times New Roman CYR"/>
          <w:sz w:val="28"/>
          <w:szCs w:val="28"/>
        </w:rPr>
        <w:br/>
        <w:t>отсутствуют данные, необходимые для расчета конкретного показателя, то показатель считается неприменимым.</w:t>
      </w:r>
    </w:p>
    <w:p w:rsidR="00E506B0" w:rsidRPr="00BC7AEE" w:rsidRDefault="00E506B0" w:rsidP="00E506B0">
      <w:pPr>
        <w:tabs>
          <w:tab w:val="left" w:pos="99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2.5.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Расчет оценочных показателей производится на основании данных, согласованных или скорректированных по результатам проверки ответственными специалистами  финансового управления.</w:t>
      </w:r>
    </w:p>
    <w:p w:rsidR="00E506B0" w:rsidRPr="00BC7AEE" w:rsidRDefault="00E506B0" w:rsidP="00E506B0">
      <w:pPr>
        <w:autoSpaceDE w:val="0"/>
        <w:autoSpaceDN w:val="0"/>
        <w:adjustRightInd w:val="0"/>
        <w:spacing w:before="48" w:after="0" w:line="240" w:lineRule="auto"/>
        <w:ind w:right="1824" w:firstLine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506B0" w:rsidRPr="00BC7AEE" w:rsidRDefault="00E506B0" w:rsidP="00AA1482">
      <w:pPr>
        <w:autoSpaceDE w:val="0"/>
        <w:autoSpaceDN w:val="0"/>
        <w:adjustRightInd w:val="0"/>
        <w:spacing w:before="48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Оценка качества финансового  менеджмента главных администраторов</w:t>
      </w:r>
    </w:p>
    <w:p w:rsidR="00E506B0" w:rsidRPr="00BC7AEE" w:rsidRDefault="00E506B0" w:rsidP="00E506B0">
      <w:pPr>
        <w:tabs>
          <w:tab w:val="left" w:pos="1229"/>
        </w:tabs>
        <w:autoSpaceDE w:val="0"/>
        <w:autoSpaceDN w:val="0"/>
        <w:adjustRightInd w:val="0"/>
        <w:spacing w:before="53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3.1.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Оценка качества финансового менеджмента рассчитывается главными</w:t>
      </w:r>
      <w:r w:rsidRPr="00BC7AEE">
        <w:rPr>
          <w:rFonts w:ascii="Times New Roman CYR" w:hAnsi="Times New Roman CYR" w:cs="Times New Roman CYR"/>
          <w:sz w:val="28"/>
          <w:szCs w:val="28"/>
        </w:rPr>
        <w:br/>
        <w:t>администраторами на основании оценки по каждому из показателей,</w:t>
      </w:r>
      <w:r w:rsidRPr="00BC7AEE">
        <w:rPr>
          <w:rFonts w:ascii="Times New Roman CYR" w:hAnsi="Times New Roman CYR" w:cs="Times New Roman CYR"/>
          <w:sz w:val="28"/>
          <w:szCs w:val="28"/>
        </w:rPr>
        <w:br/>
        <w:t>указанных в приложении № 1 к Методике.</w:t>
      </w:r>
    </w:p>
    <w:p w:rsidR="00E506B0" w:rsidRPr="00BC7AEE" w:rsidRDefault="00E506B0" w:rsidP="00E506B0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lastRenderedPageBreak/>
        <w:t>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100 баллам.</w:t>
      </w:r>
    </w:p>
    <w:p w:rsidR="00E506B0" w:rsidRPr="00BC7AEE" w:rsidRDefault="00E506B0" w:rsidP="00E506B0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Минимальная оценка, которая может быть получена по каждому из показателей, а также минимальная суммарная оценка равна 0 баллов.</w:t>
      </w:r>
    </w:p>
    <w:p w:rsidR="00E506B0" w:rsidRPr="00BC7AEE" w:rsidRDefault="00E506B0" w:rsidP="00E506B0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3.4.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Оценка по каждому из показателей рассчитывается в следующем порядке:</w:t>
      </w:r>
    </w:p>
    <w:p w:rsidR="00E506B0" w:rsidRPr="00BC7AEE" w:rsidRDefault="00E506B0" w:rsidP="00E506B0">
      <w:pPr>
        <w:tabs>
          <w:tab w:val="left" w:pos="68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в формулу, приведенную в графе 2 приложения № 1 к Методике, подставить требуемые исходные данные и произвести необходимые вычисления;</w:t>
      </w:r>
    </w:p>
    <w:p w:rsidR="00E506B0" w:rsidRPr="00BC7AEE" w:rsidRDefault="00E506B0" w:rsidP="00E506B0">
      <w:pPr>
        <w:tabs>
          <w:tab w:val="left" w:pos="78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определить, какому из диапазонов, приведенных в графе 4 приложения № 1 к Методике, принадлежит полученный результат вычислений;</w:t>
      </w:r>
    </w:p>
    <w:p w:rsidR="00E506B0" w:rsidRPr="00BC7AEE" w:rsidRDefault="00E506B0" w:rsidP="00E506B0">
      <w:pPr>
        <w:tabs>
          <w:tab w:val="left" w:pos="6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зафиксировать оценку, соответствующую выбранному диапазону, на основании графы 5 таблицы приложения № 1 к Методике.</w:t>
      </w:r>
    </w:p>
    <w:p w:rsidR="00E506B0" w:rsidRPr="00BC7AEE" w:rsidRDefault="00E506B0" w:rsidP="00E506B0">
      <w:p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3.5.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Главный администратор, к которому не применим какой-либо</w:t>
      </w:r>
      <w:r w:rsidRPr="00BC7AEE">
        <w:rPr>
          <w:rFonts w:ascii="Times New Roman CYR" w:hAnsi="Times New Roman CYR" w:cs="Times New Roman CYR"/>
          <w:sz w:val="28"/>
          <w:szCs w:val="28"/>
        </w:rPr>
        <w:br/>
        <w:t>показатель, получает по соответствующему критерию нулевую оценку.</w:t>
      </w:r>
    </w:p>
    <w:p w:rsidR="00E506B0" w:rsidRPr="00BC7AEE" w:rsidRDefault="00E506B0" w:rsidP="00E506B0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3.7.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Расчет суммарной оценки качества финансового менеджмента (КФМ) главных администраторов  осуществляется по следующей формуле: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53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КФМ = SUM 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Bi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,</w:t>
      </w:r>
    </w:p>
    <w:p w:rsidR="00E506B0" w:rsidRPr="00BC7AEE" w:rsidRDefault="00E506B0" w:rsidP="00E506B0">
      <w:pPr>
        <w:autoSpaceDE w:val="0"/>
        <w:autoSpaceDN w:val="0"/>
        <w:adjustRightInd w:val="0"/>
        <w:spacing w:before="38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где: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right="4646" w:firstLine="709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Bi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- итоговое значение оценки по направлению;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right="4646"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i – номер  направления оценки.</w:t>
      </w:r>
    </w:p>
    <w:p w:rsidR="00E506B0" w:rsidRPr="00BC7AEE" w:rsidRDefault="00E506B0" w:rsidP="00E506B0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3.8.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Итоговое значение оценки по направлению (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Bi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>) рассчитывается по следующей формуле: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53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Bi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= SUM 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Kj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,</w:t>
      </w:r>
    </w:p>
    <w:p w:rsidR="00E506B0" w:rsidRPr="00BC7AEE" w:rsidRDefault="00E506B0" w:rsidP="00E506B0">
      <w:pPr>
        <w:autoSpaceDE w:val="0"/>
        <w:autoSpaceDN w:val="0"/>
        <w:adjustRightInd w:val="0"/>
        <w:spacing w:before="58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5" w:after="0" w:line="240" w:lineRule="auto"/>
        <w:ind w:right="2267" w:firstLine="709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Kj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- значение оценки показателя по i-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му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направлению; </w:t>
      </w:r>
    </w:p>
    <w:p w:rsidR="00E506B0" w:rsidRPr="00BC7AEE" w:rsidRDefault="00E506B0" w:rsidP="00E506B0">
      <w:pPr>
        <w:autoSpaceDE w:val="0"/>
        <w:autoSpaceDN w:val="0"/>
        <w:adjustRightInd w:val="0"/>
        <w:spacing w:before="5" w:after="0" w:line="240" w:lineRule="auto"/>
        <w:ind w:right="2267"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j - номер показателя оценки в рамках направления оценки.</w:t>
      </w:r>
    </w:p>
    <w:p w:rsidR="00E506B0" w:rsidRPr="00BC7AEE" w:rsidRDefault="00E506B0" w:rsidP="00E506B0">
      <w:pPr>
        <w:autoSpaceDE w:val="0"/>
        <w:autoSpaceDN w:val="0"/>
        <w:adjustRightInd w:val="0"/>
        <w:spacing w:before="48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Анализ качества финансового менеджмента и формирование</w:t>
      </w:r>
    </w:p>
    <w:p w:rsidR="00E506B0" w:rsidRPr="00BC7AEE" w:rsidRDefault="00E506B0" w:rsidP="00E506B0">
      <w:pPr>
        <w:autoSpaceDE w:val="0"/>
        <w:autoSpaceDN w:val="0"/>
        <w:adjustRightInd w:val="0"/>
        <w:spacing w:before="48"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7AEE">
        <w:rPr>
          <w:rFonts w:ascii="Times New Roman CYR" w:hAnsi="Times New Roman CYR" w:cs="Times New Roman CYR"/>
          <w:b/>
          <w:bCs/>
          <w:sz w:val="28"/>
          <w:szCs w:val="28"/>
        </w:rPr>
        <w:t>рейтинга главных администраторов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tabs>
          <w:tab w:val="left" w:pos="1133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4.1.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Анализ качества финансового менеджмента производится по следующим направлениям:</w:t>
      </w:r>
    </w:p>
    <w:p w:rsidR="00E506B0" w:rsidRPr="00BC7AEE" w:rsidRDefault="00E506B0" w:rsidP="00E506B0">
      <w:pPr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по уровню оценок, полученных по каждому из показателей;</w:t>
      </w:r>
    </w:p>
    <w:p w:rsidR="00E506B0" w:rsidRPr="00BC7AEE" w:rsidRDefault="00E506B0" w:rsidP="00E506B0">
      <w:pPr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по суммарной оценке, полученной каждым главным администратором  по применимым к нему показателям;</w:t>
      </w:r>
    </w:p>
    <w:p w:rsidR="00E506B0" w:rsidRPr="00BC7AEE" w:rsidRDefault="00E506B0" w:rsidP="00E506B0">
      <w:pPr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по средней оценке уровня финансового менеджмента главных администраторов.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7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4.2.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При анализе качества финансового менеджмента по уровню оценок, полученных главными администраторами  по каждому из показателей: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производится расчет среднего значения оценки, полученной всеми главными администраторами  и по каждому из показателей;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определяются главные администраторы, имеющие по оцениваемому показателю неудовлетворительные результаты.</w:t>
      </w:r>
    </w:p>
    <w:p w:rsidR="00E506B0" w:rsidRPr="00BC7AEE" w:rsidRDefault="00E506B0" w:rsidP="00522879">
      <w:pPr>
        <w:numPr>
          <w:ilvl w:val="12"/>
          <w:numId w:val="0"/>
        </w:numPr>
        <w:tabs>
          <w:tab w:val="left" w:pos="97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lastRenderedPageBreak/>
        <w:t>4.3.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Расчет среднего значения оценки по каждому из показателей (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SPj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>) производится по следующей формуле:</w:t>
      </w:r>
      <w:r w:rsidRPr="00BC7AEE">
        <w:rPr>
          <w:rFonts w:ascii="Times New Roman CYR" w:hAnsi="Times New Roman CYR" w:cs="Times New Roman CYR"/>
          <w:sz w:val="28"/>
          <w:szCs w:val="28"/>
        </w:rPr>
        <w:br/>
        <w:t xml:space="preserve">                     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70"/>
          <w:tab w:val="left" w:pos="1276"/>
          <w:tab w:val="left" w:pos="3435"/>
          <w:tab w:val="center" w:pos="5387"/>
        </w:tabs>
        <w:autoSpaceDE w:val="0"/>
        <w:autoSpaceDN w:val="0"/>
        <w:adjustRightInd w:val="0"/>
        <w:spacing w:after="0" w:line="274" w:lineRule="exact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ab/>
      </w:r>
      <w:r w:rsidRPr="00BC7AEE">
        <w:rPr>
          <w:rFonts w:ascii="Times New Roman CYR" w:hAnsi="Times New Roman CYR" w:cs="Times New Roman CYR"/>
          <w:sz w:val="28"/>
          <w:szCs w:val="28"/>
        </w:rPr>
        <w:tab/>
      </w:r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SUM 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Kjn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70"/>
          <w:tab w:val="left" w:pos="1276"/>
        </w:tabs>
        <w:autoSpaceDE w:val="0"/>
        <w:autoSpaceDN w:val="0"/>
        <w:adjustRightInd w:val="0"/>
        <w:spacing w:after="0" w:line="274" w:lineRule="exact"/>
        <w:ind w:firstLine="562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SPj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= ------------------- ,___________                                         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7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                      n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где: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Kj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- значение оценки показателя по n-</w:t>
      </w:r>
      <w:proofErr w:type="spellStart"/>
      <w:r w:rsidRPr="00BC7AEE">
        <w:rPr>
          <w:rFonts w:ascii="Times New Roman CYR" w:hAnsi="Times New Roman CYR" w:cs="Times New Roman CYR"/>
          <w:sz w:val="28"/>
          <w:szCs w:val="28"/>
        </w:rPr>
        <w:t>му</w:t>
      </w:r>
      <w:proofErr w:type="spellEnd"/>
      <w:r w:rsidRPr="00BC7AEE">
        <w:rPr>
          <w:rFonts w:ascii="Times New Roman CYR" w:hAnsi="Times New Roman CYR" w:cs="Times New Roman CYR"/>
          <w:sz w:val="28"/>
          <w:szCs w:val="28"/>
        </w:rPr>
        <w:t xml:space="preserve"> главному  администратору;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j - номер показателя;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n - общее количество главных администраторов, к которым применим данный показатель.</w:t>
      </w:r>
    </w:p>
    <w:p w:rsidR="00E506B0" w:rsidRPr="00BC7AEE" w:rsidRDefault="00E506B0" w:rsidP="00E506B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Расчет средних значений по группам показателей не производится.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9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4.4.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Главный администратор имеет по оцениваемому показателю неудовлетворительные результаты в случае: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768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-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если среднее значение оценки всех главных администраторов меньше 3 баллов и индивидуальная оценка главного администратора по показателю ниже 3 баллов.</w:t>
      </w:r>
    </w:p>
    <w:p w:rsidR="00E506B0" w:rsidRPr="00BC7AEE" w:rsidRDefault="00E506B0" w:rsidP="00E506B0">
      <w:pPr>
        <w:numPr>
          <w:ilvl w:val="12"/>
          <w:numId w:val="0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4.5.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Результаты анализа качества финансового менеджмента по уровню оценок, полученных главным администратором по каждому из показателей, представляются по форме, приведенной в приложении № 3 к Методике:</w:t>
      </w:r>
    </w:p>
    <w:p w:rsidR="00E506B0" w:rsidRPr="00BC7AEE" w:rsidRDefault="00E506B0" w:rsidP="00E506B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в графы 1, 2 приложения № 3 заносится номер показателя по порядку и его наименование (содержание граф 1, 2 таблицы приложения № 3 к Методике должно соответствовать содержанию графы 1 приложения № 1 к Методике);</w:t>
      </w:r>
    </w:p>
    <w:p w:rsidR="00E506B0" w:rsidRPr="00BC7AEE" w:rsidRDefault="00E506B0" w:rsidP="00E506B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в графу 3 приложения № 3 заносится полученное расчетным путем среднее значение по показателю оценки;</w:t>
      </w:r>
    </w:p>
    <w:p w:rsidR="00E506B0" w:rsidRPr="00BC7AEE" w:rsidRDefault="00E506B0" w:rsidP="00E506B0">
      <w:pPr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в графу 4 приложения № 3 заносятся наименования главных администраторов, получивших неудовлетворительную оценку в соответствии с пунктом 4.4 данного раздела Методики;</w:t>
      </w:r>
    </w:p>
    <w:p w:rsidR="00E506B0" w:rsidRPr="00BC7AEE" w:rsidRDefault="00E506B0" w:rsidP="00E506B0">
      <w:pPr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в графу 5 приложения № 3 заносятся наименования главных администраторов, получивших самую высокую оценку по показателю;</w:t>
      </w:r>
    </w:p>
    <w:p w:rsidR="00E506B0" w:rsidRPr="00BC7AEE" w:rsidRDefault="00E506B0" w:rsidP="00E506B0">
      <w:pPr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в графу 6 приложения № 3 заносятся наименования главных администраторов, к которым данный показатель оказался, не применим.</w:t>
      </w:r>
    </w:p>
    <w:p w:rsidR="00E506B0" w:rsidRPr="00BC7AEE" w:rsidRDefault="00E506B0" w:rsidP="00E506B0">
      <w:p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Анализ качества финансового менеджмента по совокупности оценок, полученных каждым главным администраторам по применимым к нему показателям, производится на основании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сопоставления суммарной оценки качества финансового менеджмента главного администратора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и максимально возможной оценки, которую может получить главный администратор, за качество финансового менеджмента исходя из применимости показателей.</w:t>
      </w:r>
    </w:p>
    <w:p w:rsidR="00E506B0" w:rsidRPr="00BC7AEE" w:rsidRDefault="00E506B0" w:rsidP="00E506B0">
      <w:p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оценка, которую может получить главный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администратор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главному администратору показателям (вместо фактически полученных оценок) и значения 0 баллов для не применимых к главному администратору показателям.</w:t>
      </w:r>
    </w:p>
    <w:p w:rsidR="00E506B0" w:rsidRPr="00BC7AEE" w:rsidRDefault="00E506B0" w:rsidP="00E506B0">
      <w:pPr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lastRenderedPageBreak/>
        <w:t>4.8.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 Уровень качества финансового менеджмента (Q) по совокупности оценок полученных каждым главным администраторам по применимым к нему показателям рассчитывается по следующей формуле: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КФМ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76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Q = ------------ ,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MAX</w:t>
      </w:r>
    </w:p>
    <w:p w:rsidR="00E506B0" w:rsidRPr="00BC7AEE" w:rsidRDefault="00E506B0" w:rsidP="00E506B0">
      <w:pPr>
        <w:autoSpaceDE w:val="0"/>
        <w:autoSpaceDN w:val="0"/>
        <w:adjustRightInd w:val="0"/>
        <w:spacing w:before="38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где: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КФМ - суммарная оценка качества финансового менеджмента главного администратора;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MAX - максимально возможная оценка, которую может получить главный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администратор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за качество финансового менеджмента исходя из применимости показателей.</w:t>
      </w:r>
    </w:p>
    <w:p w:rsidR="00E506B0" w:rsidRPr="00BC7AEE" w:rsidRDefault="00E506B0" w:rsidP="00E506B0">
      <w:pPr>
        <w:tabs>
          <w:tab w:val="left" w:pos="1042"/>
        </w:tabs>
        <w:autoSpaceDE w:val="0"/>
        <w:autoSpaceDN w:val="0"/>
        <w:adjustRightInd w:val="0"/>
        <w:spacing w:before="53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Чем выше значение показателя "Q", тем выше уровень качества финансового менеджмента главного администратора. Максимальный уровень качества составляет 1,0.</w:t>
      </w:r>
    </w:p>
    <w:p w:rsidR="00E506B0" w:rsidRPr="00BC7AEE" w:rsidRDefault="00E506B0" w:rsidP="00E506B0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По суммарной оценке, полученной каждым главным администраторам, рассчитывается рейтинговая оценка качества финансового менеджмента каждого главного администратора, и формируется сводный рейтинг, ранжированный по убыванию рейтинговых оценок главного администратора.</w:t>
      </w:r>
    </w:p>
    <w:p w:rsidR="00E506B0" w:rsidRPr="00BC7AEE" w:rsidRDefault="00E506B0" w:rsidP="00E506B0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4.11.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Рейтинговая оценка каждого главного администратора (R) за качество финансового менеджмента рассчитывается по следующей формуле: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53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R = Q x 5,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34"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Q - уровень качества финансового менеджмента главного администратора.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Максимальная рейтинговая оценка, которая может быть получена главным администраторам за качество финансового менеджмента, равна 5.</w:t>
      </w:r>
    </w:p>
    <w:p w:rsidR="00E506B0" w:rsidRPr="00BC7AEE" w:rsidRDefault="00E506B0" w:rsidP="00E506B0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4.12.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>Сводный рейтинг, ранжированный по убыванию оценок качества финансового менеджмента главного администратора, составляется по форме согласно приложению  № 4 к Методике.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Оценка среднего уровня качества финансового менеджмента главного администратора (MR) рассчитывается по следующей формуле:</w:t>
      </w:r>
    </w:p>
    <w:p w:rsidR="00E506B0" w:rsidRPr="00BC7AEE" w:rsidRDefault="00E506B0" w:rsidP="00E506B0">
      <w:pPr>
        <w:autoSpaceDE w:val="0"/>
        <w:autoSpaceDN w:val="0"/>
        <w:adjustRightInd w:val="0"/>
        <w:spacing w:before="29"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>SUM R</w:t>
      </w:r>
    </w:p>
    <w:p w:rsidR="00E506B0" w:rsidRPr="00BC7AEE" w:rsidRDefault="00E506B0" w:rsidP="00E506B0">
      <w:pPr>
        <w:tabs>
          <w:tab w:val="left" w:leader="underscore" w:pos="18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 xml:space="preserve">MR =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>------------ ,</w:t>
      </w:r>
      <w:proofErr w:type="gramEnd"/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 xml:space="preserve">         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proofErr w:type="gramEnd"/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506B0" w:rsidRPr="00BC7AEE" w:rsidRDefault="00E506B0" w:rsidP="00E506B0">
      <w:pPr>
        <w:autoSpaceDE w:val="0"/>
        <w:autoSpaceDN w:val="0"/>
        <w:adjustRightInd w:val="0"/>
        <w:spacing w:before="34"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где</w:t>
      </w:r>
      <w:r w:rsidRPr="00BC7AEE">
        <w:rPr>
          <w:rFonts w:ascii="Times New Roman CYR" w:hAnsi="Times New Roman CYR" w:cs="Times New Roman CYR"/>
          <w:sz w:val="28"/>
          <w:szCs w:val="28"/>
          <w:lang w:val="en-US"/>
        </w:rPr>
        <w:t>: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SUM R - сумма рейтинговых оценок главных администраторов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принявших участие в оценке качества финансового менеджмента;</w:t>
      </w:r>
    </w:p>
    <w:p w:rsidR="00E506B0" w:rsidRPr="00BC7AEE" w:rsidRDefault="00E506B0" w:rsidP="00E5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n - количество главных администраторов, принявших участие в оценке качества финансового менеджмента.</w:t>
      </w:r>
    </w:p>
    <w:p w:rsidR="00E506B0" w:rsidRPr="00BC7AEE" w:rsidRDefault="00E506B0" w:rsidP="00E506B0">
      <w:pPr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7AEE">
        <w:rPr>
          <w:rFonts w:ascii="Times New Roman CYR" w:hAnsi="Times New Roman CYR" w:cs="Times New Roman CYR"/>
          <w:sz w:val="28"/>
          <w:szCs w:val="28"/>
        </w:rPr>
        <w:t>4.13.</w:t>
      </w:r>
      <w:r w:rsidRPr="00BC7AEE">
        <w:rPr>
          <w:rFonts w:ascii="Times New Roman CYR" w:hAnsi="Times New Roman CYR" w:cs="Times New Roman CYR"/>
          <w:sz w:val="28"/>
          <w:szCs w:val="28"/>
        </w:rPr>
        <w:tab/>
        <w:t xml:space="preserve">В целях проведения анализа в таблицу со сводным рейтингом качества финансового менеджмента главных администраторов также заносится информация о суммарной оценке качества финансового менеджмента главных администраторов (графа 4 таблицы приложения № 4 к Методике) и максимально возможная оценка, </w:t>
      </w:r>
      <w:r w:rsidRPr="00BC7AEE">
        <w:rPr>
          <w:rFonts w:ascii="Times New Roman CYR" w:hAnsi="Times New Roman CYR" w:cs="Times New Roman CYR"/>
          <w:sz w:val="28"/>
          <w:szCs w:val="28"/>
        </w:rPr>
        <w:lastRenderedPageBreak/>
        <w:t xml:space="preserve">которую может получить главный </w:t>
      </w:r>
      <w:proofErr w:type="gramStart"/>
      <w:r w:rsidRPr="00BC7AEE">
        <w:rPr>
          <w:rFonts w:ascii="Times New Roman CYR" w:hAnsi="Times New Roman CYR" w:cs="Times New Roman CYR"/>
          <w:sz w:val="28"/>
          <w:szCs w:val="28"/>
        </w:rPr>
        <w:t>администратор</w:t>
      </w:r>
      <w:proofErr w:type="gramEnd"/>
      <w:r w:rsidRPr="00BC7AEE">
        <w:rPr>
          <w:rFonts w:ascii="Times New Roman CYR" w:hAnsi="Times New Roman CYR" w:cs="Times New Roman CYR"/>
          <w:sz w:val="28"/>
          <w:szCs w:val="28"/>
        </w:rPr>
        <w:t xml:space="preserve"> за качество финансового менеджмента исходя из применимости показателей (графа 5 таблицы приложения № 4 к Методике).</w:t>
      </w:r>
    </w:p>
    <w:p w:rsidR="00FE2678" w:rsidRDefault="00FE2678" w:rsidP="00E506B0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727DE" w:rsidRPr="00B727DE" w:rsidRDefault="006928FB" w:rsidP="00B727DE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="00B727DE"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ложение № 1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Методике расчета и анализа значений показателей 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качества финансового менеджмента </w:t>
      </w:r>
      <w:proofErr w:type="gramStart"/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главных</w:t>
      </w:r>
      <w:proofErr w:type="gramEnd"/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администраторов  бюджета муниципального образования</w:t>
      </w:r>
    </w:p>
    <w:p w:rsid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5035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E67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</w:p>
    <w:p w:rsidR="008E67E6" w:rsidRPr="00B727DE" w:rsidRDefault="008E67E6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Смоленской области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4200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before="34" w:after="0" w:line="240" w:lineRule="auto"/>
        <w:ind w:right="-36"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 ПОКАЗАТЕЛЕЙ</w:t>
      </w:r>
    </w:p>
    <w:p w:rsidR="00B727DE" w:rsidRPr="00B727DE" w:rsidRDefault="00B727DE" w:rsidP="00B727DE">
      <w:pPr>
        <w:autoSpaceDE w:val="0"/>
        <w:autoSpaceDN w:val="0"/>
        <w:adjustRightInd w:val="0"/>
        <w:spacing w:before="34" w:after="0" w:line="240" w:lineRule="auto"/>
        <w:ind w:right="-36"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ОЦЕНКА КАЧЕСТВА  ФИНАНСОВОГО МЕНЕДЖМЕНТА ГЛАВНЫХ АДМИНИСТРАТОРОВ  </w:t>
      </w:r>
    </w:p>
    <w:p w:rsidR="00B727DE" w:rsidRPr="00B727DE" w:rsidRDefault="00B727DE" w:rsidP="00B727DE">
      <w:pPr>
        <w:autoSpaceDE w:val="0"/>
        <w:autoSpaceDN w:val="0"/>
        <w:adjustRightInd w:val="0"/>
        <w:spacing w:after="274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8"/>
        <w:gridCol w:w="9"/>
        <w:gridCol w:w="5779"/>
        <w:gridCol w:w="9"/>
        <w:gridCol w:w="851"/>
        <w:gridCol w:w="9"/>
        <w:gridCol w:w="265"/>
        <w:gridCol w:w="38"/>
        <w:gridCol w:w="1669"/>
        <w:gridCol w:w="9"/>
        <w:gridCol w:w="3122"/>
        <w:gridCol w:w="9"/>
      </w:tblGrid>
      <w:tr w:rsidR="00B727DE" w:rsidRPr="00B727DE" w:rsidTr="00E7158A">
        <w:trPr>
          <w:gridAfter w:val="1"/>
          <w:wAfter w:w="9" w:type="dxa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показателя (Р)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ница</w:t>
            </w:r>
            <w:proofErr w:type="spellEnd"/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рения -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суммарная оценка по направлению/ оценка по показателю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оценки качества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10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1. Оценка механизмов планирования доходов и расходов бюджета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Своевременность представления реестра расходных обязательств главными распорядителями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бюджетных средств (далее также – ГРБС, РРО)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 в Финансовое управление, от даты представления РРО ГРБС, установленной Финансовым управлением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Целевым ориентиром является достижение показателя равного 0</w:t>
            </w: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Оценка качества планирования поступлений доходов в местный бюджет </w:t>
            </w: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=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Рпл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 100,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исполнение доходов, администрируемых соответствующим главным администратором доходов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уровень исполнения администрируемых  доходов не менее 100% и не более 150%</w:t>
            </w: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Рпл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плановые назначения доходов, администрируемых соответствующим главным администратором доходов</w:t>
            </w: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100% &lt; 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150%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150%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100%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23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Р3  Соблюдение установленных сроков предоставления в финансовый орган документов, необходимых для составления бюджета</w:t>
            </w:r>
          </w:p>
        </w:tc>
        <w:tc>
          <w:tcPr>
            <w:tcW w:w="5788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 установленных сроков  предоставления в финансовый орган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необходимых документов к проекту бюджета: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соблюдение установленных сроков  предоставления в финансовый орган необходимых документов </w:t>
            </w: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23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23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15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необходимые документы  предоставлены в финансовый орган в установленные сроки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15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15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3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необходимые документы  предоставлены в финансовый орган с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нарушении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установленных сроков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Оценка качества планирования бюджетных ассигнований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Оуточн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x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качество планирования бюджетных ассигнований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Оуточн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ассигнований, перераспределенных за отчетный период (для главных распорядителей, имеющих подведомственную сеть учреждений, - между подведомственными учреждениями), без учета изменений, внесенных в связи с уточнением бюджета;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бюджетных ассигнований за отчетный период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Целевым ориентиром является достижение показателя, равного 0.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&lt; Р3 &lt;= 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 &lt; Р3 &lt;= 10%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 &lt; Р3&lt;= 15%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15% &lt; Р3 &lt;= 20%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Р3 &gt; 20%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Р5  Количество уведомлений о внесении изменений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Р5- количество уведомлений о внесении изменений в бюджетную роспись расходов и лимитов бюджетных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Большое количество уведомлений о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бюджетную роспись расходов и лимитов бюджетных обязательств, связанных с перемещением бюджетных ассигнований, в ходе исполнения бюджета</w:t>
            </w: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обязательств в ходе исполнения бюджета в отчетном финансовом году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Р5&lt;5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 до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 до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100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Оценка результатов исполнения бюджета в части доходов и расходов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Уровень исполнения расходов ГРБС за счет средств местного бюджета (без учета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межбюджетных трансфертов из областного и федерального бюджетов)        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Ркас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Ркпр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 100,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уровень исполнения расходов за счет средств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местного бюджета не менее 95%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Ркас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кассовые расходы ГРБС за счет средств местного бюджета (без учета межбюджетных трансфертов из областного и федерального бюджетов)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отчетном периоде,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Ркпр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плановые расходы ГРБС за счет средств местного бюджета (без учета межбюджетных трансфертов из областного и федерального бюджетов) за отчетный период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100%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90%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85%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&gt;= 80%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 80%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 неисполненных бюджетных ассигнований на конец отчетного финансового года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=(b-e)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b,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позволяет оценить объем не исполненных на конец года бюджетных ассигнований. Целевым ориентиром для ГРБС является значение показателя, не превосходящее 0,5%.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объем бюджетных ассигнований ГРБС в отчетном финансовом году согласно отчету об исполнении бюджета с учетом внесенных в него изменений;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-кассовое исполнение расходов ГРБС в отчетном финансовом году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0,5%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0,5% до 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1% до 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5% до 15%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15% до 30%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30%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Р8 Своевременное составление бюджетной росписи ГРБС к проекту бюджета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Оценивается соблюдение установленных    сроков     для составления бюджетной росписи ГРБС к проекту бюджета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соблюдение установленных сроков составления бюджетной росписи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бюджетная роспись ГРБС составлена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соблюдением установленных сроков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бюджетная роспись ГРБС составлена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нарушением установленных сроков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кассовых расходов (без учета межбюджетных трансфертов, имеющих целевое назначение, из областного и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федерального бюджетов), произведенных ГРБС и подведомственными  ему учреждениями   в IV квартале отчетного финансового года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(IV кв.) /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(год) * 100,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Показатель выявляет концентрацию расходов ГРБС в IV квартале отчетного финансового года.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Целевым ориентиром является значение показателя, равное или меньше 25%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(IV кв.)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в IV квартале отчетного финансового года;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80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Ркис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(год)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за отчетный финансовый год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 = 25%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25% &lt; 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30%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30% &lt; 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35%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35% &lt; 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40%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40% &lt; 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&lt;= 45%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&gt; 45%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Изменение дебиторской задолженности по платежам в бюджет, администрируемых главными администраторами доходов, в отчетном периоде по сравнению с началом года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Р10 =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Дтоп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ет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 отсутствие дебиторской задолженности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нг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дебиторской задолженности по платежам в местный бюджет, администрируемых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соответствуюми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главными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администраторми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доходов,  на начало текущего года.</w:t>
            </w: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Дт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оп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дебиторской задолженности по платежам в местный бюджет, администрируемых соответствующими  главными  администраторами доходов,   по состоянию на 1 число года, следующего за отчетным годом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Дебиторская задолженность отсутствует на начало текущего года и на 1 число, следующего за отчетным годом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&lt; 0 (снижение дебиторской задолженности)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= 0 (дебиторская задолженность не изменилась)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 &gt; 0 (допущен рост дебиторской задолженности)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Р11 Наличие у ГРБС и подведомственных ему муниципальных  учреждений              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просроченной   кредиторской задолженности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Р11 =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Целевым ориентиром является значение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показателя,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равное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объем просроченной кредиторской задолженности ГРБС и подведомственных ему муниципальных учреждений по расчетам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кредиторами по состоянию на 1 января года, следующего за отчетным годом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 =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 &gt;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Р12 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Р12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К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/Е х 100, где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уровень управления финансами, при котором доля объема кредиторской задолженности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расчетам с поставщиками и подрядчиками от кассового исполнения по расходам ГРБС и подведомственных ему муниципальных учреждений составляет не более 0,5% или отсутствует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- объем кредиторской задолженности по расчетам с поставщиками и подрядчиками в отчетном финансовом году по состоянию на 1 января года, следующего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отчетным;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- кассовое исполнение расходов ГРБС в отчетном финансовом году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P12&lt;=0,5%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0,5%&lt;P12&lt;=1%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1%&lt;P12&lt;=2%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2%&lt;P12&lt;=5%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5%&lt;P12&lt;=10%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10%&lt;P12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10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 Оценка состояния учета и отчетности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9" w:lineRule="exact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Р13  Соблюдение сроков представления ГРБС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годовой</w:t>
            </w:r>
            <w:proofErr w:type="gramEnd"/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бюджетной отчетности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соблюдение сроков представления    ГРБС годовой бюджетной отчетности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своевременное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отчетности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представлена ГРБС   в установленные сроки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годовая бюджетная отчетность представлена ГРБС       с нарушением установленных сроков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Р14 Качество составления ГРБС годовой бюджетной отчетности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качество предоставления бюджетной отчетности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предоставление отчетности полностью соответствующей порядку ее составления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984"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составлена ГРБС  в полном соответствии с порядком ее составления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годовая бюджетная отчетность составлена ГРБС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нарушением порядка ее составления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9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Оценка финансово-экономической деятельности подведомственных ГРБС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ind w:firstLine="24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Р15 Своевременность утверждения муниципальных заданий подведомственным ГРБС учреждениям на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финансовый год и плановый период </w:t>
            </w:r>
            <w:hyperlink r:id="rId9" w:history="1"/>
          </w:p>
        </w:tc>
        <w:tc>
          <w:tcPr>
            <w:tcW w:w="57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Р15 = Тмз,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727DE" w:rsidRPr="00B727DE" w:rsidRDefault="00B727DE" w:rsidP="0050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Тмз - количество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дней отклонения фактической даты утверждения муниципальных заданий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подведомственным  ГРБС  учреждениям на текущий финансовый год и плановый период от срока, установленного   Порядком  формирования муниципального задания в отношении муниципальных учреждений и финансового обеспечения выполнения муниципального задания, утвержденного Постановлением </w:t>
            </w:r>
            <w:r w:rsidR="00E37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дминистрации муниципального образования </w:t>
            </w:r>
            <w:r w:rsidR="005035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«Велижский</w:t>
            </w:r>
            <w:r w:rsidR="00E37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="005035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E37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Показатель позволяет оценить своевременность утверждения муниципальных заданий подведомственным ГРБС учреждениям на текущий финансовый год и плановый период.           Целевым ориентиром является достижение показателя, равного 0. 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Р15 =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&lt; Р15 &lt;=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&lt; Р15 &lt;=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&lt; Р15 &lt;=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&lt; Р15 &lt;=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-----------------------------------------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&lt; Р15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Р16 Размещение в полном объеме подведомственными ГРБС учреждениями на официальном сайте  www.bus.gov.ru (далее - официальный сайт) в сети Интернет информации,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 марта текущего года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Оценивается наличие информации, размещенной в полном объеме подведомственными Главному распорядителю учреждениями на официальном сайте,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 марта  текущего года 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размещение на официальном сайте информации в полном объеме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информация размещена подведомственными ГРБС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учреждениями на официальном сайте в полном объеме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информация не размещена подведомственными ГРБС учреждениями на официальном сайте в полном объеме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80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Р17 Своевременность утверждения планов финансово-хозяйственной деятельности подведомственных ГРБС бюджетных  учреждений на текущий финансовый год и плановый период в соответствии со сроками, установленными Порядками составления и утверждения плана финансово-хозяйственной деятельности  муниципальных бюджетных  учреждений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Р17 = Тфхд,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Тфхд - количество дней отклонения фактической даты утверждения планов финансово-хозяйственной деятельности  подведомственных Главному распорядителю бюджетных  учреждений на текущий финансовый год и плановый период от сроков, установленных Порядками составления и утверждения плана финансово-хозяйственной деятельности  муниципальных бюджетных  учреждений     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Показатель позволяет оценить своевременность утверждения планов финансово-хозяйственной деятельности подведомственных ГРБС бюджетных и автономных учреждений на текущий финансовый год и плановый период. Целевым ориентиром является достижение показателя, равного 0.   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 17 =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&lt; Р 17 &lt;=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&lt; Р 17 &lt;=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&lt; Р 17 &lt;=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&lt; Р 17 &lt;=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&lt; Р 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9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9F5" w:rsidRDefault="001249F5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Оценка организации внутреннего финансового аудита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Р18 Наличие     правового     акта ГРБС об организации            внутреннего финансового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аудита</w:t>
            </w:r>
          </w:p>
        </w:tc>
        <w:tc>
          <w:tcPr>
            <w:tcW w:w="57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Оценивается наличие или отсутствие правового акта   ГРБС об организации внутреннего финансового аудита</w:t>
            </w: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Позитивно расценивается      наличие  правового акта   ГРБС  об  организации 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внутреннего  финансового аудита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  <w:trHeight w:val="80"/>
        </w:trPr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правового акта ГРБС, определяющего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процедуру и порядок осуществления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финансового аудита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правовой акт ГРБС,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определяющий процедуру и порядок осуществления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финансового аудита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Р19 Наличие плана проведения аудиторских мероприятий и заключений по результатам проведения аудиторских мероприятий  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 наличие или отсутствия планов проведения аудиторских мероприятий  и заключений по результатам проведенных аудиторских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наличие планов и заключений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плана проведения  аудиторских мероприятий и заключений  по результатам проведенных аудиторских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Отсутствуют планы проведения  аудиторских мероприятий и заключений  по результатам проведенных аудиторских мероприятий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49F5" w:rsidRDefault="001249F5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6. Оценка качества управления активами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Р.20 Наличие недостач и хищений</w:t>
            </w: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Оценивается наличие или отсутствие сумм недостач и хищений денежных средств и (или) материальных ценностей на конец отчетного периода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Позитивно расценивается отсутствие сумм недостач и хищений денежных средств и (или) материальных ценностей</w:t>
            </w: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сумм недостач и хищений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сумм недостач и хищений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rPr>
          <w:gridAfter w:val="1"/>
          <w:wAfter w:w="9" w:type="dxa"/>
        </w:trPr>
        <w:tc>
          <w:tcPr>
            <w:tcW w:w="10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суммарная оценка качества финансового менеджмента ГРБС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49F5" w:rsidRDefault="00B727DE" w:rsidP="00B727DE">
      <w:pPr>
        <w:tabs>
          <w:tab w:val="left" w:pos="2194"/>
          <w:tab w:val="left" w:leader="underscore" w:pos="3518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B727DE" w:rsidRPr="00B727DE" w:rsidRDefault="00B727DE" w:rsidP="00B727DE">
      <w:pPr>
        <w:tabs>
          <w:tab w:val="left" w:pos="2194"/>
          <w:tab w:val="left" w:leader="underscore" w:pos="3518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Руководитель ___________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Фамилия, И.О. , контактный телефон</w:t>
      </w:r>
    </w:p>
    <w:p w:rsidR="00B727DE" w:rsidRPr="00B727DE" w:rsidRDefault="00B727DE" w:rsidP="00B727DE">
      <w:pPr>
        <w:tabs>
          <w:tab w:val="left" w:pos="2189"/>
          <w:tab w:val="left" w:leader="underscore" w:pos="3509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27DE" w:rsidRPr="00B727DE" w:rsidRDefault="00B727DE" w:rsidP="00B727DE">
      <w:pPr>
        <w:tabs>
          <w:tab w:val="left" w:pos="2189"/>
          <w:tab w:val="left" w:leader="underscore" w:pos="3509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Исполнитель____________</w:t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Фамилия, И.О. , контактный телефон</w:t>
      </w:r>
    </w:p>
    <w:p w:rsidR="003D3E62" w:rsidRDefault="003D3E62" w:rsidP="00B727DE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3E62" w:rsidRDefault="003D3E62" w:rsidP="00B727DE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2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Методике расчета и анализа значений показателей 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качества финансового  менеджмента главных  администраторов средств бюджета </w:t>
      </w:r>
    </w:p>
    <w:p w:rsidR="00253E76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«</w:t>
      </w:r>
      <w:r w:rsidR="001B29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3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B727DE" w:rsidRPr="00B727DE" w:rsidRDefault="00253E76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Смоленской области</w:t>
      </w:r>
      <w:r w:rsidR="00B727DE"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727DE" w:rsidRPr="00B727DE" w:rsidRDefault="00B727DE" w:rsidP="00B727DE">
      <w:pPr>
        <w:autoSpaceDE w:val="0"/>
        <w:autoSpaceDN w:val="0"/>
        <w:adjustRightInd w:val="0"/>
        <w:spacing w:before="86"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36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ИСХОДНЫХ ДАННЫХ ДЛЯ ПРОВЕДЕНИЯ ОЦЕНКИ КАЧЕСТВА ФИНАНСОВОГО МЕНЕДЖМЕНТА ГЛАВНЫХ </w:t>
      </w:r>
      <w:r w:rsidRPr="00B727DE">
        <w:rPr>
          <w:rFonts w:asciiTheme="majorHAnsi" w:eastAsiaTheme="majorEastAsia" w:hAnsiTheme="majorHAnsi" w:cs="Times New Roman"/>
          <w:b/>
          <w:bCs/>
          <w:sz w:val="36"/>
          <w:szCs w:val="36"/>
          <w:lang w:eastAsia="ru-RU"/>
        </w:rPr>
        <w:t>администраторов</w:t>
      </w:r>
      <w:r w:rsidRPr="00B727D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Дата заполнения главным администратором   «___»_______ 20 ___г.</w:t>
      </w:r>
    </w:p>
    <w:p w:rsidR="00B727DE" w:rsidRPr="00B727DE" w:rsidRDefault="00B727DE" w:rsidP="00B727DE">
      <w:pPr>
        <w:tabs>
          <w:tab w:val="left" w:leader="underscore" w:pos="3240"/>
          <w:tab w:val="left" w:leader="underscore" w:pos="5400"/>
          <w:tab w:val="left" w:leader="underscore" w:pos="6000"/>
        </w:tabs>
        <w:autoSpaceDE w:val="0"/>
        <w:autoSpaceDN w:val="0"/>
        <w:adjustRightInd w:val="0"/>
        <w:spacing w:before="91"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727DE" w:rsidRPr="00B727DE" w:rsidRDefault="00B727DE" w:rsidP="00B727DE">
      <w:pPr>
        <w:tabs>
          <w:tab w:val="left" w:leader="underscore" w:pos="3240"/>
          <w:tab w:val="left" w:leader="underscore" w:pos="5400"/>
          <w:tab w:val="left" w:leader="underscore" w:pos="6000"/>
        </w:tabs>
        <w:autoSpaceDE w:val="0"/>
        <w:autoSpaceDN w:val="0"/>
        <w:adjustRightInd w:val="0"/>
        <w:spacing w:before="91"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B727DE">
        <w:rPr>
          <w:rFonts w:ascii="Times New Roman" w:eastAsiaTheme="minorEastAsia" w:hAnsi="Times New Roman" w:cs="Times New Roman"/>
          <w:lang w:eastAsia="ru-RU"/>
        </w:rPr>
        <w:t>__________________________________________________</w:t>
      </w:r>
    </w:p>
    <w:p w:rsidR="00B727DE" w:rsidRPr="00B727DE" w:rsidRDefault="00B727DE" w:rsidP="00B727DE">
      <w:pPr>
        <w:tabs>
          <w:tab w:val="left" w:leader="underscore" w:pos="3240"/>
          <w:tab w:val="left" w:leader="underscore" w:pos="5400"/>
          <w:tab w:val="left" w:leader="underscore" w:pos="6000"/>
        </w:tabs>
        <w:autoSpaceDE w:val="0"/>
        <w:autoSpaceDN w:val="0"/>
        <w:adjustRightInd w:val="0"/>
        <w:spacing w:before="91"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B727DE">
        <w:rPr>
          <w:rFonts w:ascii="Times New Roman" w:eastAsiaTheme="minorEastAsia" w:hAnsi="Times New Roman" w:cs="Times New Roman"/>
          <w:lang w:eastAsia="ru-RU"/>
        </w:rPr>
        <w:t xml:space="preserve">   (наименование главного администратора)</w:t>
      </w:r>
    </w:p>
    <w:p w:rsidR="00B727DE" w:rsidRPr="00B727DE" w:rsidRDefault="00B727DE" w:rsidP="00B727DE">
      <w:pPr>
        <w:tabs>
          <w:tab w:val="left" w:leader="underscore" w:pos="3240"/>
          <w:tab w:val="left" w:leader="underscore" w:pos="5400"/>
          <w:tab w:val="left" w:leader="underscore" w:pos="6000"/>
        </w:tabs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1262"/>
        <w:gridCol w:w="3698"/>
        <w:gridCol w:w="1844"/>
      </w:tblGrid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4" w:lineRule="exact"/>
              <w:ind w:right="2803" w:firstLine="70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Наименование исходных данных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8" w:lineRule="exact"/>
              <w:ind w:firstLine="10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8" w:lineRule="exact"/>
              <w:ind w:right="102" w:firstLine="11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Источник информации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Значение исходных данных, поступивших от главных  администраторов</w:t>
            </w: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4" w:lineRule="exact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дней отклонения даты регистрации письма ГРБС, к которому приложен РРО ГРБС на   очередной финансовый год и плановый период в Финансовое управление, от даты представления   РРО ГРБС, установленной Финансовым управлением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№ письма, дата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8" w:lineRule="exact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Утвержденный    объем  администрируемых доходов, закрепленных за соответствующим главным администратором доходов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3D3E62">
            <w:pPr>
              <w:autoSpaceDE w:val="0"/>
              <w:autoSpaceDN w:val="0"/>
              <w:adjustRightInd w:val="0"/>
              <w:spacing w:after="0" w:line="274" w:lineRule="exact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Решение  о бюджете </w:t>
            </w:r>
            <w:proofErr w:type="spellStart"/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proofErr w:type="gramStart"/>
            <w:r w:rsidR="001249F5">
              <w:rPr>
                <w:rFonts w:ascii="Times New Roman" w:eastAsiaTheme="minorEastAsia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="001249F5"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r w:rsidR="00E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3D3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 на очередной финансовый год и плановый период (далее – решение о бюджете)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83" w:lineRule="exact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Фактическое поступление в местный бюджет администрируемых доходов, закрепленных за соответствующим главным администратором доходов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4" w:lineRule="exact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Соблюдение установленных сроков  предоставления в финансовый орган документов, необходимых для составления бюджета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№ письма, дата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74" w:lineRule="exact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бюджетных ассигнований, перераспределенных за отчетный период (для главных распорядителей, имеющих подведомственную сеть учреждений -между подведомственными учреждениями), без учета изменений, внесенных в связи с уточнением бюджета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tabs>
                <w:tab w:val="left" w:leader="underscore" w:pos="8304"/>
              </w:tabs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бюджетных ассигнований за отчетный период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Количество уведомлений о внесении изменений в бюджетную роспись расходов и лимитов бюджетных обязательств в ходе исполнения бюджета в отчетном финансовом году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Кол-во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Уведомления об изменении бюджетных ассигнований за отчетный период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979"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Кассовые расходы ГРБС за счет средств местного бюджета (без учета межбюджетных трансфертов из областного и федерального бюджетов) в отчетном периоде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Плановые расходы ГРБС за счет средств местного бюджета (без учета межбюджетных трансфертов из областного и федерального бюджетов) за отчетный период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бюджетных ассигнований ГРБС в отчетном финансовом году согласно отчету об исполнении бюджета с учетом внесенных в него изменений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1363"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Кассовое исполнение расходов ГРБС в отчетном финансовом году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Своевременное составление бюджетной росписи ГРБС к проекту бюджета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194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№ письма, дата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Р9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в IV квартале отчетного финансового года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Кассовые расходы (без учета расходов за счет субвенций и субсидий из областного и федерального бюджета), произведенные ГРБС и подведомственными ему учреждениями за отчетный финансовый год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дебиторской задолженности по платежам в бюджет, администрируемых главным администратором доходов,  на начало текущего года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отчет, сведения о дебиторской и кредиторской задолженности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дебиторской задолженности по платежам в бюджет, администрируемых главным администратором доходов,    по состоянию на 1 число года, следующего за отчетным годом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отчет, сведения о дебиторской и кредиторской задолженности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Объем просроченной кредиторской задолженности ГРБС и 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подведомственных ему муниципальных учреждений по расчетам с кредиторами по состоянию на 1 января года, следующего за отчетным годом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 Тыс.руб.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Годовой отчет, сведения о 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дебиторской и кредиторской задолженности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Р12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  кредиторской   задолженности   по   расчетам   с   поставщиками   и подрядчиками в отчетном финансовом году по состоянию на 1 января года, следующего за отчетным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отчет, сведения о дебиторской и кредиторской задолженности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Кассовое исполнение расходов ГРБС в отчетном финансовом году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Тыс. 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Количество      дней      отклонения      представления      ГРБС      годовой бюджетной отчетности от установленных сроков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194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№ письма, дата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Качество составления ГРБС годовой бюджетной отчетности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290"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4578A4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дней отклонения фактической даты утверждения муниципальных заданий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 подведомственным  ГРБС  учреждениям  на текущий финансовый год и плановый период от срока, установленного Порядком формирования   муниципального   задания   в   отношении   муниципальных учреждений и финансового обеспечения выполнения муниципального задания, утвержденного  Постановлением  </w:t>
            </w:r>
            <w:r w:rsidR="004578A4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дминистрации  </w:t>
            </w:r>
            <w:r w:rsidR="004578A4">
              <w:rPr>
                <w:rFonts w:ascii="Times New Roman" w:eastAsiaTheme="minorEastAsia" w:hAnsi="Times New Roman" w:cs="Times New Roman"/>
                <w:lang w:eastAsia="ru-RU"/>
              </w:rPr>
              <w:t>муниципального образования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1249F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1249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r w:rsidR="004578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="001249F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4578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Решение о бюджете; утвержденные муниципальные задания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Наличие информации, размещенной в полном объеме подведомственными ГРБС  учреждениями на официальном сайте,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 по состоянию на 1 марта текущего года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Информация, размещенная в сети Интернет на сайте </w:t>
            </w:r>
            <w:hyperlink r:id="rId10" w:history="1"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www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bus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gov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Р17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Количество   дней   отклонения   фактической   даты   утверждения   планов финансово-хозяйственной    деятельности        подведомственных    ГРБС бюджетных  учреждений на текущий финансовый год и плановый период от сроков, установленных Порядками составления и утверждения    плана    финансово-хозяйственной    деятельности   муниципальных бюджетных  учреждений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День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Решение о бюджете;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Утвержденные планы финансово-хозяйственной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rPr>
          <w:trHeight w:val="6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727DE">
              <w:rPr>
                <w:rFonts w:ascii="Times New Roman" w:eastAsiaTheme="minorEastAsia" w:hAnsi="Times New Roman" w:cs="Times New Roman"/>
                <w:lang w:val="en-US"/>
              </w:rPr>
              <w:t>P1</w:t>
            </w:r>
            <w:r w:rsidRPr="00B727DE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Наличие правового акта главного администратора об организации финансового аудита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Правовой   акт             главного администратора     об  организации            финансового аудита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727DE">
              <w:rPr>
                <w:rFonts w:ascii="Times New Roman" w:eastAsiaTheme="minorEastAsia" w:hAnsi="Times New Roman" w:cs="Times New Roman"/>
              </w:rPr>
              <w:t>Р19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Наличие плана проведения аудиторских мероприятий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План        проведения        аудиторских  проверок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Наличие заключений по результатам проведения аудиторских мероприятий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Заключения по результатам проведения аудиторских проверок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Р20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недостач и хищений в количественном выражении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Баланс, сведения о дебиторской и кредиторской задолженности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727DE" w:rsidRPr="00B727DE" w:rsidTr="00E715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Объем недостач и хищений в суммовом  выражении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>Баланс, сведения о дебиторской и кредиторской задолженности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727DE" w:rsidRPr="00B727DE" w:rsidRDefault="00B727DE" w:rsidP="00B727DE">
      <w:pPr>
        <w:autoSpaceDE w:val="0"/>
        <w:autoSpaceDN w:val="0"/>
        <w:adjustRightInd w:val="0"/>
        <w:spacing w:before="48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27DE" w:rsidRPr="00B727DE" w:rsidRDefault="00B727DE" w:rsidP="00B727DE">
      <w:pPr>
        <w:tabs>
          <w:tab w:val="left" w:pos="2194"/>
          <w:tab w:val="left" w:leader="underscore" w:pos="3518"/>
        </w:tabs>
        <w:autoSpaceDE w:val="0"/>
        <w:autoSpaceDN w:val="0"/>
        <w:adjustRightInd w:val="0"/>
        <w:spacing w:before="48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Фамилия, И.О. , контактный телефон</w:t>
      </w:r>
    </w:p>
    <w:p w:rsidR="00B727DE" w:rsidRPr="00B727DE" w:rsidRDefault="00B727DE" w:rsidP="00B727DE">
      <w:pPr>
        <w:tabs>
          <w:tab w:val="left" w:pos="2189"/>
          <w:tab w:val="left" w:leader="underscore" w:pos="3509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</w:t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27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Фамилия, И.О. , контактный телефон</w:t>
      </w:r>
    </w:p>
    <w:p w:rsidR="00B727DE" w:rsidRPr="00B727DE" w:rsidRDefault="00B727DE" w:rsidP="00B727DE">
      <w:pPr>
        <w:autoSpaceDE w:val="0"/>
        <w:autoSpaceDN w:val="0"/>
        <w:adjustRightInd w:val="0"/>
        <w:spacing w:before="48"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3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Методике расчета и анализа значений показателей 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качества финансового менеджмента главных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администраторов  средств бюджета </w:t>
      </w:r>
    </w:p>
    <w:p w:rsidR="00B727DE" w:rsidRPr="00B727DE" w:rsidRDefault="00B727DE" w:rsidP="00B727DE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B727DE" w:rsidRPr="00B727DE" w:rsidRDefault="00E71A25" w:rsidP="00E71A25">
      <w:pPr>
        <w:tabs>
          <w:tab w:val="left" w:pos="1307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13E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="00813E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Смоленской области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before="91"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РЕЗУЛЬТАТЫ</w:t>
      </w:r>
    </w:p>
    <w:p w:rsidR="00B727DE" w:rsidRPr="00B727DE" w:rsidRDefault="00B727DE" w:rsidP="00B727DE">
      <w:pPr>
        <w:autoSpaceDE w:val="0"/>
        <w:autoSpaceDN w:val="0"/>
        <w:adjustRightInd w:val="0"/>
        <w:spacing w:before="19"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АНАЛИЗА КАЧЕСТВА ФИНАНСОВОГО МЕНЕДЖМЕНТА</w:t>
      </w:r>
    </w:p>
    <w:p w:rsidR="00B727DE" w:rsidRPr="00B727DE" w:rsidRDefault="00B727DE" w:rsidP="00B727DE">
      <w:pPr>
        <w:autoSpaceDE w:val="0"/>
        <w:autoSpaceDN w:val="0"/>
        <w:adjustRightInd w:val="0"/>
        <w:spacing w:after="278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655"/>
        <w:gridCol w:w="1275"/>
        <w:gridCol w:w="2126"/>
        <w:gridCol w:w="1985"/>
        <w:gridCol w:w="1417"/>
      </w:tblGrid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направлений оценки, показателей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оценка по показателю 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Главные администраторы, получившие неудовлетворительную оценку по показателю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Главные администраторы,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получившие лучшую оценку по показателю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Главные администраторы, к которым показа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тель не приме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ним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27DE" w:rsidRPr="00B727DE" w:rsidTr="00E7158A">
        <w:tc>
          <w:tcPr>
            <w:tcW w:w="1545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1. Оценка механизмов планирования доходов и расходов бюджета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Своевременность представления реестра расходных обязательств главными распорядителями бюджетных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качества планирования поступлений доходов в 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установленных сроков предоставления в финансовый орган документы, необходимых для составления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2150"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качества планирования бюджетных ассигнований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уведомлений о внесении изменений в бюджетную роспись расходов и лимитов бюджетных обязательств, связанных с перемещением бюджетных ассигнований, в ходе исполнения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Оценка результатов исполнения бюджета в части доходов и расходов 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исполнения расходов ГРБС за счет средств местного бюджета (без учета межбюджетных трансфертов из областного  и федерального бюджетов)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неисполненных бюджетных ассигнований на конец отчетного финансового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Своевременное составление бюджетной росписи ГРБС к проекту бюджета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кассовых расходов (без учета межбюджетных трансфертов, имеющих целевое назначение, из областного и федерального бюджетов), произведенных ГРБС и подведомственными ему учреждениями в IV квартале отчетного финансового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Изменение дебиторской задолженности по платежам в бюджет, администрируемых </w:t>
            </w:r>
            <w:r w:rsidRPr="00B727DE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главным администратором доходов, 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отчетном периоде по сравнению с началом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у ГРБС и подведомственных ему муниципальных бюджетных учреждений просроченной кредиторской задолженности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 Оценка состояния учета и отчетности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представления ГРБС годовой бюджетной отчетности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right="1872"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 составления ГРБС годовой бюджетной отчетности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4. Оценка финансово-экономической деятельности подведомственных ГРБС учреждений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107951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Своевременность утверждения муниципальных заданий подведомственным ГРБС учреждениям на текущий финансовый год и плановый период в срок, установленный Порядком формирования муниципального задания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E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9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E71A25"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1079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Р16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Размещение в полном объеме подведомственными ГРБС учреждениями на официальном сайте в сети Интернет </w:t>
            </w:r>
            <w:hyperlink r:id="rId11" w:history="1"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27D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информации,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 марта текущего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Своевременность утверждения планов финансово-хозяйственной деятельности подведомственных ГРБС бюджетных  учреждений на текущий финансовый год и плановый период в соответствии со сроками, установленными Порядками составления и утверждения плана финансово-хозяйственной деятельности  муниципальных бюджетных учреждений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Оценка организации финансового аудита</w:t>
            </w: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правового акта ГРБС  об организации  финансового аудита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плана проведения аудиторских мероприятий и заключений по результатам проведенных аудиторских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Р20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недостач и хищений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727DE" w:rsidRPr="00B727DE" w:rsidSect="002D0E94">
          <w:pgSz w:w="11909" w:h="16834"/>
          <w:pgMar w:top="710" w:right="569" w:bottom="1134" w:left="1276" w:header="720" w:footer="720" w:gutter="0"/>
          <w:cols w:space="60"/>
          <w:noEndnote/>
          <w:docGrid w:linePitch="299"/>
        </w:sectPr>
      </w:pP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Методике расчета и анализа значений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качества финансового менеджмента 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администраторов средств бюджета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B727DE" w:rsidRPr="00B727DE" w:rsidRDefault="00E71A25" w:rsidP="00B727D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038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403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Смоленской области</w:t>
      </w: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1627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1627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after="0" w:line="240" w:lineRule="auto"/>
        <w:ind w:right="1627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7DE" w:rsidRPr="00B727DE" w:rsidRDefault="00B727DE" w:rsidP="00B727DE">
      <w:pPr>
        <w:autoSpaceDE w:val="0"/>
        <w:autoSpaceDN w:val="0"/>
        <w:adjustRightInd w:val="0"/>
        <w:spacing w:after="274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СВОДНЫЙ РЕЙТИНГ ГЛАВНЫХ АДМИНИСТРАТОРОВ  ПО КАЧЕСТВУ ФИНАНСОВОГО МЕНЕДЖМЕНТА</w:t>
      </w:r>
    </w:p>
    <w:tbl>
      <w:tblPr>
        <w:tblW w:w="98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06"/>
        <w:gridCol w:w="1891"/>
        <w:gridCol w:w="2160"/>
        <w:gridCol w:w="2093"/>
      </w:tblGrid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Рейтинговая оценка 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(R)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Суммарная оценка качества финансового менеджмента (КФМ)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оценка качества финансового менеджмента 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7DE" w:rsidRPr="00B727DE" w:rsidTr="00E7158A"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главного администратора 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MR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DE" w:rsidRPr="00B727DE" w:rsidRDefault="00B727DE" w:rsidP="00B727D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B727DE" w:rsidRPr="00B727DE" w:rsidRDefault="00B727DE" w:rsidP="00B727D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27DE" w:rsidRPr="00B727DE" w:rsidRDefault="00B727DE" w:rsidP="00B727DE"/>
    <w:p w:rsidR="0027235A" w:rsidRDefault="0027235A"/>
    <w:sectPr w:rsidR="0027235A" w:rsidSect="00AE4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46" w:rsidRDefault="007B7F46">
      <w:pPr>
        <w:spacing w:after="0" w:line="240" w:lineRule="auto"/>
      </w:pPr>
      <w:r>
        <w:separator/>
      </w:r>
    </w:p>
  </w:endnote>
  <w:endnote w:type="continuationSeparator" w:id="0">
    <w:p w:rsidR="007B7F46" w:rsidRDefault="007B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46" w:rsidRDefault="007B7F46">
      <w:pPr>
        <w:spacing w:after="0" w:line="240" w:lineRule="auto"/>
      </w:pPr>
      <w:r>
        <w:separator/>
      </w:r>
    </w:p>
  </w:footnote>
  <w:footnote w:type="continuationSeparator" w:id="0">
    <w:p w:rsidR="007B7F46" w:rsidRDefault="007B7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6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7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9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EE"/>
    <w:rsid w:val="000267A1"/>
    <w:rsid w:val="0008692F"/>
    <w:rsid w:val="00107951"/>
    <w:rsid w:val="001249F5"/>
    <w:rsid w:val="00136513"/>
    <w:rsid w:val="00177ED1"/>
    <w:rsid w:val="00187105"/>
    <w:rsid w:val="001B295E"/>
    <w:rsid w:val="001E36B6"/>
    <w:rsid w:val="001F0866"/>
    <w:rsid w:val="001F4B0B"/>
    <w:rsid w:val="002218A2"/>
    <w:rsid w:val="00253E76"/>
    <w:rsid w:val="0027235A"/>
    <w:rsid w:val="002768E0"/>
    <w:rsid w:val="002B0F9D"/>
    <w:rsid w:val="002C3524"/>
    <w:rsid w:val="002D0E94"/>
    <w:rsid w:val="00375D71"/>
    <w:rsid w:val="003A508B"/>
    <w:rsid w:val="003D3E62"/>
    <w:rsid w:val="004038CA"/>
    <w:rsid w:val="004144D1"/>
    <w:rsid w:val="00436A4F"/>
    <w:rsid w:val="00436E7E"/>
    <w:rsid w:val="004578A4"/>
    <w:rsid w:val="004A488A"/>
    <w:rsid w:val="004A5C35"/>
    <w:rsid w:val="004A7A83"/>
    <w:rsid w:val="004B7125"/>
    <w:rsid w:val="0050351B"/>
    <w:rsid w:val="00522879"/>
    <w:rsid w:val="00537C5B"/>
    <w:rsid w:val="00570674"/>
    <w:rsid w:val="005B667F"/>
    <w:rsid w:val="005D1A04"/>
    <w:rsid w:val="005D6F9E"/>
    <w:rsid w:val="005E4865"/>
    <w:rsid w:val="00605470"/>
    <w:rsid w:val="006526FA"/>
    <w:rsid w:val="00657A42"/>
    <w:rsid w:val="006928FB"/>
    <w:rsid w:val="006A1C7E"/>
    <w:rsid w:val="006B2354"/>
    <w:rsid w:val="006C2090"/>
    <w:rsid w:val="006E44DC"/>
    <w:rsid w:val="00742380"/>
    <w:rsid w:val="00751CE2"/>
    <w:rsid w:val="0077720D"/>
    <w:rsid w:val="007B7F46"/>
    <w:rsid w:val="007C7AA9"/>
    <w:rsid w:val="007E1E2E"/>
    <w:rsid w:val="007F243A"/>
    <w:rsid w:val="008051F5"/>
    <w:rsid w:val="00812826"/>
    <w:rsid w:val="00812ECF"/>
    <w:rsid w:val="00813E78"/>
    <w:rsid w:val="00816C98"/>
    <w:rsid w:val="00823B05"/>
    <w:rsid w:val="00846511"/>
    <w:rsid w:val="0085383A"/>
    <w:rsid w:val="008D6B54"/>
    <w:rsid w:val="008E0772"/>
    <w:rsid w:val="008E58D6"/>
    <w:rsid w:val="008E67E6"/>
    <w:rsid w:val="008E7B9D"/>
    <w:rsid w:val="00915C5B"/>
    <w:rsid w:val="00950D9E"/>
    <w:rsid w:val="00985ED8"/>
    <w:rsid w:val="009E548D"/>
    <w:rsid w:val="009F2413"/>
    <w:rsid w:val="00A37FAE"/>
    <w:rsid w:val="00AA034F"/>
    <w:rsid w:val="00AA1482"/>
    <w:rsid w:val="00AC285D"/>
    <w:rsid w:val="00AD6DC2"/>
    <w:rsid w:val="00AE4A8D"/>
    <w:rsid w:val="00AF011F"/>
    <w:rsid w:val="00AF26F1"/>
    <w:rsid w:val="00B01DBA"/>
    <w:rsid w:val="00B10B56"/>
    <w:rsid w:val="00B23BCC"/>
    <w:rsid w:val="00B7231E"/>
    <w:rsid w:val="00B727DE"/>
    <w:rsid w:val="00BA3CAB"/>
    <w:rsid w:val="00BF6983"/>
    <w:rsid w:val="00C33F04"/>
    <w:rsid w:val="00C43C58"/>
    <w:rsid w:val="00C93F8F"/>
    <w:rsid w:val="00D34F77"/>
    <w:rsid w:val="00D51193"/>
    <w:rsid w:val="00D62BE2"/>
    <w:rsid w:val="00D71181"/>
    <w:rsid w:val="00D72C19"/>
    <w:rsid w:val="00DA5AB1"/>
    <w:rsid w:val="00DA5FEE"/>
    <w:rsid w:val="00DC57AF"/>
    <w:rsid w:val="00DD5D68"/>
    <w:rsid w:val="00E0001C"/>
    <w:rsid w:val="00E07EC5"/>
    <w:rsid w:val="00E15ADB"/>
    <w:rsid w:val="00E37FCB"/>
    <w:rsid w:val="00E504AF"/>
    <w:rsid w:val="00E506B0"/>
    <w:rsid w:val="00E7158A"/>
    <w:rsid w:val="00E71A25"/>
    <w:rsid w:val="00E74866"/>
    <w:rsid w:val="00E951E7"/>
    <w:rsid w:val="00EC0EF2"/>
    <w:rsid w:val="00EE6746"/>
    <w:rsid w:val="00EF4238"/>
    <w:rsid w:val="00F87700"/>
    <w:rsid w:val="00FB219B"/>
    <w:rsid w:val="00FB6CEA"/>
    <w:rsid w:val="00FC1C22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727D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727D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727D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727DE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B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27DE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7DE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27DE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727DE"/>
    <w:rPr>
      <w:rFonts w:ascii="Calibri" w:eastAsiaTheme="minorEastAsia" w:hAnsi="Calibri" w:cs="Times New Roman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7DE"/>
  </w:style>
  <w:style w:type="paragraph" w:customStyle="1" w:styleId="Style1">
    <w:name w:val="Style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27DE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27DE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27DE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27DE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727DE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727D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B727DE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B727D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B727DE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B727D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B727DE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B727D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B727DE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B727DE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B727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B727D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ody Text"/>
    <w:basedOn w:val="a"/>
    <w:link w:val="a5"/>
    <w:uiPriority w:val="99"/>
    <w:rsid w:val="00B727DE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27DE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2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727D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2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727D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2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727D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727D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727D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727D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727D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727DE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B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27DE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7DE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27DE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727DE"/>
    <w:rPr>
      <w:rFonts w:ascii="Calibri" w:eastAsiaTheme="minorEastAsia" w:hAnsi="Calibri" w:cs="Times New Roman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7DE"/>
  </w:style>
  <w:style w:type="paragraph" w:customStyle="1" w:styleId="Style1">
    <w:name w:val="Style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27DE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27DE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27DE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27DE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727DE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727DE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727DE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B727DE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727D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B727DE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B727D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B727DE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B727D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B727DE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B727D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B727DE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B727DE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B727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B727D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ody Text"/>
    <w:basedOn w:val="a"/>
    <w:link w:val="a5"/>
    <w:uiPriority w:val="99"/>
    <w:rsid w:val="00B727DE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27DE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2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27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727D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2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727D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2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727D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727D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E8D4A02BBED8CE983AE6520C08E88B94EBF054E253A59E450E4A52911E95808FE93744BCCDA2EB3C4C89C3n5t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8555-D80D-4964-9253-1FEDA6EA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21</Pages>
  <Words>6632</Words>
  <Characters>37805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2025-05-13T10:28:00Z</cp:lastPrinted>
  <dcterms:created xsi:type="dcterms:W3CDTF">2020-04-22T08:38:00Z</dcterms:created>
  <dcterms:modified xsi:type="dcterms:W3CDTF">2025-05-13T10:28:00Z</dcterms:modified>
</cp:coreProperties>
</file>