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FF" w:rsidRDefault="009A7EFF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7351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4E5C19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54F23">
        <w:rPr>
          <w:rFonts w:ascii="Times New Roman" w:hAnsi="Times New Roman" w:cs="Times New Roman"/>
          <w:sz w:val="28"/>
          <w:szCs w:val="28"/>
        </w:rPr>
        <w:t xml:space="preserve">09. 12. 2019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74C74">
        <w:rPr>
          <w:rFonts w:ascii="Times New Roman" w:hAnsi="Times New Roman" w:cs="Times New Roman"/>
          <w:sz w:val="28"/>
          <w:szCs w:val="28"/>
        </w:rPr>
        <w:t xml:space="preserve"> </w:t>
      </w:r>
      <w:r w:rsidR="00E54F23">
        <w:rPr>
          <w:rFonts w:ascii="Times New Roman" w:hAnsi="Times New Roman" w:cs="Times New Roman"/>
          <w:sz w:val="28"/>
          <w:szCs w:val="28"/>
        </w:rPr>
        <w:t>604</w:t>
      </w:r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21D2">
        <w:rPr>
          <w:rFonts w:ascii="Times New Roman" w:hAnsi="Times New Roman" w:cs="Times New Roman"/>
          <w:sz w:val="28"/>
          <w:szCs w:val="28"/>
        </w:rPr>
        <w:t>г.</w:t>
      </w:r>
      <w:r w:rsidR="00A37057">
        <w:rPr>
          <w:rFonts w:ascii="Times New Roman" w:hAnsi="Times New Roman" w:cs="Times New Roman"/>
          <w:sz w:val="28"/>
          <w:szCs w:val="28"/>
        </w:rPr>
        <w:t xml:space="preserve"> </w:t>
      </w:r>
      <w:r w:rsidR="00E521D2">
        <w:rPr>
          <w:rFonts w:ascii="Times New Roman" w:hAnsi="Times New Roman" w:cs="Times New Roman"/>
          <w:sz w:val="28"/>
          <w:szCs w:val="28"/>
        </w:rPr>
        <w:t>Велиж</w:t>
      </w:r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40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B93D2C" w:rsidRPr="00E11632" w:rsidTr="003D3072">
        <w:tc>
          <w:tcPr>
            <w:tcW w:w="5211" w:type="dxa"/>
          </w:tcPr>
          <w:p w:rsidR="00B93D2C" w:rsidRPr="00E11632" w:rsidRDefault="00206E44" w:rsidP="00A009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проведения анализа осуществления главными администраторами</w:t>
            </w:r>
            <w:r w:rsidR="003D3072">
              <w:rPr>
                <w:rFonts w:ascii="Times New Roman" w:hAnsi="Times New Roman" w:cs="Times New Roman"/>
                <w:sz w:val="28"/>
                <w:szCs w:val="28"/>
              </w:rPr>
              <w:t xml:space="preserve"> (администраторами) средств бюджетов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 w:rsidR="003D307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 w:rsidR="003D307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3D307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75D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D3072">
              <w:rPr>
                <w:rFonts w:ascii="Times New Roman" w:hAnsi="Times New Roman" w:cs="Times New Roman"/>
                <w:sz w:val="28"/>
                <w:szCs w:val="28"/>
              </w:rPr>
              <w:t>Велижское</w:t>
            </w:r>
            <w:proofErr w:type="spellEnd"/>
            <w:r w:rsidR="003D307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внутреннего финансового контроля и внутреннего финансового аудита</w:t>
            </w:r>
          </w:p>
        </w:tc>
        <w:tc>
          <w:tcPr>
            <w:tcW w:w="4360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Default="00F40DA2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Pr="00E11632" w:rsidRDefault="00E408A0" w:rsidP="00E408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CD09C9">
        <w:rPr>
          <w:rFonts w:ascii="Times New Roman" w:hAnsi="Times New Roman" w:cs="Times New Roman"/>
          <w:sz w:val="28"/>
          <w:szCs w:val="28"/>
        </w:rPr>
        <w:t>целях реализации п. 4 ст. 157 Бюджетного кодекса Российской Федерации Администрация муниципального образования «</w:t>
      </w:r>
      <w:proofErr w:type="spellStart"/>
      <w:r w:rsidR="00CD09C9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D09C9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B93D2C" w:rsidRPr="00F8002F" w:rsidRDefault="00B93D2C" w:rsidP="00E2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Pr="00F8002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8002F" w:rsidRPr="00E11632" w:rsidRDefault="00F8002F" w:rsidP="00E2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24B03" w:rsidRPr="00E11632" w:rsidRDefault="00B93D2C" w:rsidP="00E408A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 xml:space="preserve">1. </w:t>
      </w:r>
      <w:r w:rsidR="00DA7746">
        <w:rPr>
          <w:rFonts w:ascii="Times New Roman" w:hAnsi="Times New Roman" w:cs="Times New Roman"/>
          <w:sz w:val="28"/>
          <w:szCs w:val="28"/>
        </w:rPr>
        <w:t>Утвердить Порядок проведения анализа осуществления главными администраторами</w:t>
      </w:r>
      <w:r w:rsidR="00B614EE">
        <w:rPr>
          <w:rFonts w:ascii="Times New Roman" w:hAnsi="Times New Roman" w:cs="Times New Roman"/>
          <w:sz w:val="28"/>
          <w:szCs w:val="28"/>
        </w:rPr>
        <w:t xml:space="preserve"> (администраторами)</w:t>
      </w:r>
      <w:r w:rsidR="00DA7746">
        <w:rPr>
          <w:rFonts w:ascii="Times New Roman" w:hAnsi="Times New Roman" w:cs="Times New Roman"/>
          <w:sz w:val="28"/>
          <w:szCs w:val="28"/>
        </w:rPr>
        <w:t xml:space="preserve"> средств бюджет</w:t>
      </w:r>
      <w:r w:rsidR="00B614EE">
        <w:rPr>
          <w:rFonts w:ascii="Times New Roman" w:hAnsi="Times New Roman" w:cs="Times New Roman"/>
          <w:sz w:val="28"/>
          <w:szCs w:val="28"/>
        </w:rPr>
        <w:t>ов</w:t>
      </w:r>
      <w:r w:rsidR="00DA774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614EE">
        <w:rPr>
          <w:rFonts w:ascii="Times New Roman" w:hAnsi="Times New Roman" w:cs="Times New Roman"/>
          <w:sz w:val="28"/>
          <w:szCs w:val="28"/>
        </w:rPr>
        <w:t>ых</w:t>
      </w:r>
      <w:r w:rsidR="00DA7746">
        <w:rPr>
          <w:rFonts w:ascii="Times New Roman" w:hAnsi="Times New Roman" w:cs="Times New Roman"/>
          <w:sz w:val="28"/>
          <w:szCs w:val="28"/>
        </w:rPr>
        <w:t xml:space="preserve"> </w:t>
      </w:r>
      <w:r w:rsidR="00B614EE">
        <w:rPr>
          <w:rFonts w:ascii="Times New Roman" w:hAnsi="Times New Roman" w:cs="Times New Roman"/>
          <w:sz w:val="28"/>
          <w:szCs w:val="28"/>
        </w:rPr>
        <w:t>образований</w:t>
      </w:r>
      <w:r w:rsidR="000D297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D2977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0D297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614EE">
        <w:rPr>
          <w:rFonts w:ascii="Times New Roman" w:hAnsi="Times New Roman" w:cs="Times New Roman"/>
          <w:sz w:val="28"/>
          <w:szCs w:val="28"/>
        </w:rPr>
        <w:t xml:space="preserve"> и</w:t>
      </w:r>
      <w:r w:rsidR="00186183">
        <w:rPr>
          <w:rFonts w:ascii="Times New Roman" w:hAnsi="Times New Roman" w:cs="Times New Roman"/>
          <w:sz w:val="28"/>
          <w:szCs w:val="28"/>
        </w:rPr>
        <w:t xml:space="preserve"> </w:t>
      </w:r>
      <w:r w:rsidR="00B61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14EE">
        <w:rPr>
          <w:rFonts w:ascii="Times New Roman" w:hAnsi="Times New Roman" w:cs="Times New Roman"/>
          <w:sz w:val="28"/>
          <w:szCs w:val="28"/>
        </w:rPr>
        <w:t>Велижское</w:t>
      </w:r>
      <w:proofErr w:type="spellEnd"/>
      <w:r w:rsidR="00B614E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0D2977">
        <w:rPr>
          <w:rFonts w:ascii="Times New Roman" w:hAnsi="Times New Roman" w:cs="Times New Roman"/>
          <w:sz w:val="28"/>
          <w:szCs w:val="28"/>
        </w:rPr>
        <w:t xml:space="preserve"> внутреннего финансового контроля и внутреннего финансового аудита.</w:t>
      </w:r>
    </w:p>
    <w:p w:rsidR="002057D2" w:rsidRDefault="007E09BE" w:rsidP="002057D2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2057D2">
        <w:rPr>
          <w:rFonts w:ascii="Times New Roman" w:hAnsi="Times New Roman" w:cs="Times New Roman"/>
          <w:bCs/>
          <w:sz w:val="28"/>
          <w:szCs w:val="28"/>
        </w:rPr>
        <w:t>2.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="002057D2">
        <w:rPr>
          <w:rFonts w:ascii="Times New Roman" w:hAnsi="Times New Roman" w:cs="Times New Roman"/>
          <w:bCs/>
          <w:sz w:val="28"/>
          <w:szCs w:val="28"/>
        </w:rPr>
        <w:t>Велижский</w:t>
      </w:r>
      <w:proofErr w:type="spellEnd"/>
      <w:r w:rsidR="002057D2">
        <w:rPr>
          <w:rFonts w:ascii="Times New Roman" w:hAnsi="Times New Roman" w:cs="Times New Roman"/>
          <w:bCs/>
          <w:sz w:val="28"/>
          <w:szCs w:val="28"/>
        </w:rPr>
        <w:t xml:space="preserve"> район» по адресу </w:t>
      </w:r>
      <w:hyperlink r:id="rId9" w:history="1">
        <w:r w:rsidR="002057D2" w:rsidRPr="00394C79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http</w:t>
        </w:r>
        <w:r w:rsidR="002057D2" w:rsidRPr="00394C79">
          <w:rPr>
            <w:rStyle w:val="aa"/>
            <w:rFonts w:ascii="Times New Roman" w:hAnsi="Times New Roman" w:cs="Times New Roman"/>
            <w:bCs/>
            <w:sz w:val="28"/>
            <w:szCs w:val="28"/>
          </w:rPr>
          <w:t>://</w:t>
        </w:r>
        <w:proofErr w:type="spellStart"/>
        <w:r w:rsidR="002057D2" w:rsidRPr="00394C79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velizh</w:t>
        </w:r>
        <w:proofErr w:type="spellEnd"/>
        <w:r w:rsidR="002057D2" w:rsidRPr="00394C79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r w:rsidR="002057D2" w:rsidRPr="00394C79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admin</w:t>
        </w:r>
        <w:r w:rsidR="002057D2" w:rsidRPr="00394C79">
          <w:rPr>
            <w:rStyle w:val="aa"/>
            <w:rFonts w:ascii="Times New Roman" w:hAnsi="Times New Roman" w:cs="Times New Roman"/>
            <w:bCs/>
            <w:sz w:val="28"/>
            <w:szCs w:val="28"/>
          </w:rPr>
          <w:t>-</w:t>
        </w:r>
        <w:proofErr w:type="spellStart"/>
        <w:r w:rsidR="002057D2" w:rsidRPr="00394C79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smolensk</w:t>
        </w:r>
        <w:proofErr w:type="spellEnd"/>
        <w:r w:rsidR="002057D2" w:rsidRPr="00394C79">
          <w:rPr>
            <w:rStyle w:val="aa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2057D2" w:rsidRPr="00394C79">
          <w:rPr>
            <w:rStyle w:val="aa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2057D2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2057D2" w:rsidRPr="00B3237A" w:rsidRDefault="002057D2" w:rsidP="002057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3. Постановление вступает в силу после подписания.</w:t>
      </w:r>
    </w:p>
    <w:p w:rsidR="002057D2" w:rsidRPr="00E11632" w:rsidRDefault="002057D2" w:rsidP="002057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E116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116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163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057D2" w:rsidRDefault="002057D2" w:rsidP="002057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E09BE" w:rsidRDefault="007E09B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6A7327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671D01">
        <w:rPr>
          <w:rFonts w:ascii="Times New Roman" w:hAnsi="Times New Roman" w:cs="Times New Roman"/>
          <w:sz w:val="28"/>
          <w:szCs w:val="28"/>
        </w:rPr>
        <w:t>а</w:t>
      </w:r>
      <w:r w:rsidR="00EE3D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EE3DC5" w:rsidRPr="00E11632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71D01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671D01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7E09BE" w:rsidRPr="00E11632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E09BE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p w:rsidR="006F53E8" w:rsidRDefault="006F53E8" w:rsidP="006F53E8"/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3651"/>
      </w:tblGrid>
      <w:tr w:rsidR="006F53E8" w:rsidTr="00F8002F">
        <w:tc>
          <w:tcPr>
            <w:tcW w:w="4928" w:type="dxa"/>
            <w:hideMark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Исполнитель: </w:t>
            </w:r>
          </w:p>
          <w:p w:rsidR="006F53E8" w:rsidRDefault="008138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</w:t>
            </w:r>
            <w:r w:rsidR="006F53E8">
              <w:rPr>
                <w:rFonts w:ascii="Times New Roman" w:hAnsi="Times New Roman"/>
                <w:sz w:val="28"/>
                <w:szCs w:val="28"/>
              </w:rPr>
              <w:t xml:space="preserve"> начальника </w:t>
            </w:r>
            <w:proofErr w:type="spellStart"/>
            <w:r w:rsidR="006F53E8">
              <w:rPr>
                <w:rFonts w:ascii="Times New Roman" w:hAnsi="Times New Roman"/>
                <w:sz w:val="28"/>
                <w:szCs w:val="28"/>
              </w:rPr>
              <w:t>Велижского</w:t>
            </w:r>
            <w:proofErr w:type="spellEnd"/>
            <w:r w:rsidR="006F53E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Финансового управления</w:t>
            </w: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С.М.Миронова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</w:p>
          <w:p w:rsidR="006F53E8" w:rsidRDefault="008E5D3B" w:rsidP="002057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_____________ 201</w:t>
            </w:r>
            <w:r w:rsidR="002057D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3E8" w:rsidTr="00F8002F">
        <w:tc>
          <w:tcPr>
            <w:tcW w:w="4928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53E8" w:rsidTr="00F8002F">
        <w:tc>
          <w:tcPr>
            <w:tcW w:w="4928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Визы:</w:t>
            </w: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– юрист</w:t>
            </w: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С.В.Лукашевич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_____________</w:t>
            </w:r>
          </w:p>
          <w:p w:rsidR="006F53E8" w:rsidRDefault="008E5D3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______________ 201</w:t>
            </w:r>
            <w:r w:rsidR="002057D2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Л.С.Васильева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______________</w:t>
            </w:r>
          </w:p>
          <w:p w:rsidR="006F53E8" w:rsidRDefault="006F53E8" w:rsidP="002057D2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«___» </w:t>
            </w:r>
            <w:r w:rsidR="008E5D3B">
              <w:rPr>
                <w:rFonts w:ascii="Times New Roman" w:hAnsi="Times New Roman"/>
                <w:sz w:val="28"/>
                <w:szCs w:val="28"/>
              </w:rPr>
              <w:t>______________ 201</w:t>
            </w:r>
            <w:r w:rsidR="002057D2">
              <w:rPr>
                <w:rFonts w:ascii="Times New Roman" w:hAnsi="Times New Roman"/>
                <w:sz w:val="28"/>
                <w:szCs w:val="28"/>
              </w:rPr>
              <w:t>9</w:t>
            </w:r>
            <w:r w:rsidR="008E5D3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992" w:type="dxa"/>
          </w:tcPr>
          <w:p w:rsidR="006F53E8" w:rsidRDefault="006F53E8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hideMark/>
          </w:tcPr>
          <w:p w:rsidR="006F53E8" w:rsidRDefault="006F53E8" w:rsidP="00BC17E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Разослать: в дело, прокуратуру,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Велижское</w:t>
            </w:r>
            <w:proofErr w:type="spellEnd"/>
            <w:r w:rsidR="00BC17E0">
              <w:rPr>
                <w:rFonts w:ascii="Times New Roman" w:hAnsi="Times New Roman"/>
                <w:sz w:val="28"/>
                <w:szCs w:val="28"/>
              </w:rPr>
              <w:t xml:space="preserve"> Финансовое управление, юристу.</w:t>
            </w:r>
          </w:p>
        </w:tc>
      </w:tr>
    </w:tbl>
    <w:p w:rsidR="004C4F76" w:rsidRDefault="004C4F76" w:rsidP="00401B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8002F" w:rsidRDefault="00F8002F" w:rsidP="00B67FE1">
      <w:pPr>
        <w:widowControl w:val="0"/>
        <w:spacing w:after="232" w:line="240" w:lineRule="auto"/>
        <w:ind w:left="567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УТВЕРЖДЕН  </w:t>
      </w:r>
      <w:r w:rsidR="00C6057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="009A7E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постановлением </w:t>
      </w:r>
      <w:r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r w:rsidR="00494E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«</w:t>
      </w:r>
      <w:proofErr w:type="spellStart"/>
      <w:r w:rsidR="00C6057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Велижский</w:t>
      </w:r>
      <w:proofErr w:type="spellEnd"/>
      <w:r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="00C6057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от</w:t>
      </w:r>
      <w:r w:rsidR="001128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09. 12. 2019</w:t>
      </w:r>
      <w:r w:rsidR="00C6057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11281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604</w:t>
      </w:r>
      <w:bookmarkStart w:id="0" w:name="_GoBack"/>
      <w:bookmarkEnd w:id="0"/>
      <w:r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C6057A" w:rsidRPr="00F8002F" w:rsidRDefault="00C6057A" w:rsidP="00C6057A">
      <w:pPr>
        <w:widowControl w:val="0"/>
        <w:spacing w:after="232" w:line="240" w:lineRule="auto"/>
        <w:ind w:left="6620" w:firstLine="1880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8002F" w:rsidRPr="00F8002F" w:rsidRDefault="00F8002F" w:rsidP="00F8002F">
      <w:pPr>
        <w:widowControl w:val="0"/>
        <w:spacing w:after="0" w:line="322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80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Порядок</w:t>
      </w:r>
    </w:p>
    <w:p w:rsidR="00E8525C" w:rsidRDefault="00F8002F" w:rsidP="00E8525C">
      <w:pPr>
        <w:widowControl w:val="0"/>
        <w:spacing w:after="0" w:line="322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80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проведения анализа осуществления главными администраторами</w:t>
      </w:r>
      <w:r w:rsidR="00E85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(администраторами) </w:t>
      </w:r>
      <w:r w:rsidRPr="00F80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средств бюджет</w:t>
      </w:r>
      <w:r w:rsidR="00E85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ов</w:t>
      </w:r>
      <w:r w:rsidRPr="00F80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муниципальн</w:t>
      </w:r>
      <w:r w:rsidR="00E85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ых образований</w:t>
      </w:r>
      <w:r w:rsidRPr="00F80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«</w:t>
      </w:r>
      <w:proofErr w:type="spellStart"/>
      <w:r w:rsidR="00EC68B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Велижский</w:t>
      </w:r>
      <w:proofErr w:type="spellEnd"/>
      <w:r w:rsidRPr="00F80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район»</w:t>
      </w:r>
      <w:r w:rsidR="00E85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</w:t>
      </w:r>
      <w:r w:rsidR="0087334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proofErr w:type="spellStart"/>
      <w:r w:rsidR="00E85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Велижское</w:t>
      </w:r>
      <w:proofErr w:type="spellEnd"/>
      <w:r w:rsidR="00E85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городское поселение</w:t>
      </w:r>
      <w:r w:rsidRPr="00F80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 xml:space="preserve"> внутреннего финансового контроля и </w:t>
      </w:r>
    </w:p>
    <w:p w:rsidR="00F8002F" w:rsidRDefault="00F8002F" w:rsidP="00E8525C">
      <w:pPr>
        <w:widowControl w:val="0"/>
        <w:spacing w:after="0" w:line="322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F80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внутреннего</w:t>
      </w:r>
      <w:r w:rsidR="00E8525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F80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финансового аудита</w:t>
      </w:r>
    </w:p>
    <w:p w:rsidR="00273C6A" w:rsidRPr="00F8002F" w:rsidRDefault="00273C6A" w:rsidP="00E8525C">
      <w:pPr>
        <w:widowControl w:val="0"/>
        <w:spacing w:after="0" w:line="322" w:lineRule="exact"/>
        <w:ind w:left="2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F8002F" w:rsidRPr="00F8002F" w:rsidRDefault="00F8002F" w:rsidP="00F8002F">
      <w:pPr>
        <w:widowControl w:val="0"/>
        <w:spacing w:after="309" w:line="280" w:lineRule="exact"/>
        <w:ind w:left="20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I. Общие положения</w:t>
      </w:r>
    </w:p>
    <w:p w:rsidR="00F8002F" w:rsidRPr="00F8002F" w:rsidRDefault="00F8002F" w:rsidP="006A3AA0">
      <w:pPr>
        <w:widowControl w:val="0"/>
        <w:tabs>
          <w:tab w:val="left" w:pos="1622"/>
          <w:tab w:val="left" w:pos="3796"/>
          <w:tab w:val="left" w:pos="5928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Порядок проведения анализа осуществления главными администраторами</w:t>
      </w:r>
      <w:r w:rsidR="00BC0E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(администраторами)</w:t>
      </w:r>
      <w:r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средств бюджет</w:t>
      </w:r>
      <w:r w:rsidR="00BC0E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</w:t>
      </w:r>
      <w:r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муниципальн</w:t>
      </w:r>
      <w:r w:rsidR="00BC0E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ых</w:t>
      </w:r>
      <w:r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образовани</w:t>
      </w:r>
      <w:r w:rsidR="00BC0E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й</w:t>
      </w:r>
      <w:r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proofErr w:type="spellStart"/>
      <w:r w:rsidR="00271B2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Велижский</w:t>
      </w:r>
      <w:proofErr w:type="spellEnd"/>
      <w:r w:rsidR="00271B2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="00BC0E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 </w:t>
      </w:r>
      <w:proofErr w:type="spellStart"/>
      <w:r w:rsidR="00BC0E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Велижское</w:t>
      </w:r>
      <w:proofErr w:type="spellEnd"/>
      <w:r w:rsidR="00BC0E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городское поселение</w:t>
      </w:r>
      <w:r w:rsidR="00271B2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внутреннего финансового контроля и внутреннего финансового аудита </w:t>
      </w:r>
      <w:r w:rsidR="00E80A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(далее – Порядок)</w:t>
      </w:r>
      <w:r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разработан</w:t>
      </w:r>
      <w:r w:rsidR="00271B2C" w:rsidRPr="00271B2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целях </w:t>
      </w:r>
      <w:r w:rsidR="00E80A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организации проведения анализа осуществления главными распорядителями (распорядителями) средств местного бюджета, главными администраторами (администраторами) доходов местного бюджета, главными администраторами (администраторами) источников финансирования дефицита местного бюджета (далее – главные администраторы (администраторы) средств местного бюджета</w:t>
      </w:r>
      <w:proofErr w:type="gramEnd"/>
      <w:r w:rsidR="00E80A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 внутреннего финансового контроля и внутреннего финансового управления.</w:t>
      </w:r>
    </w:p>
    <w:p w:rsidR="00F8002F" w:rsidRPr="00F8002F" w:rsidRDefault="00D02709" w:rsidP="00327F2B">
      <w:pPr>
        <w:widowControl w:val="0"/>
        <w:tabs>
          <w:tab w:val="left" w:pos="3796"/>
          <w:tab w:val="left" w:pos="5928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327F2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Настоящий Порядок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</w:t>
      </w:r>
      <w:r w:rsidR="00327F2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станавливает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правила проведения анализа</w:t>
      </w:r>
      <w:r w:rsidR="00327F2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осуществления бюджетных полномочий главного распорядителя</w:t>
      </w:r>
      <w:r w:rsidR="00BC0E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(распорядителя)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бюджетных средств, главного администратора</w:t>
      </w:r>
      <w:r w:rsidR="002D14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(администратора)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доходов бюджета, главного администратора</w:t>
      </w:r>
      <w:r w:rsidR="002D14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(администратора)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источников финансирования дефицита бюджета, имеющих подведомственную сеть, по осуществлению внутреннего финансового контроля и внутреннего финансового аудита (далее - главные администраторы</w:t>
      </w:r>
      <w:r w:rsidR="00411E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</w:t>
      </w:r>
      <w:r w:rsidR="002D14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</w:t>
      </w:r>
      <w:r w:rsidR="00411EB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аторы)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101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средств местного бюджета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), определенных положениями статьи 160.2-1. Бюджетного кодекса Российской Федерации.</w:t>
      </w:r>
    </w:p>
    <w:p w:rsidR="00F8002F" w:rsidRPr="00F8002F" w:rsidRDefault="00F8002F" w:rsidP="00EC62C9">
      <w:pPr>
        <w:widowControl w:val="0"/>
        <w:tabs>
          <w:tab w:val="left" w:pos="1243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Настоящий Порядок устанавливает требования </w:t>
      </w:r>
      <w:proofErr w:type="gramStart"/>
      <w:r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</w:t>
      </w:r>
      <w:proofErr w:type="gramEnd"/>
      <w:r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F8002F" w:rsidRPr="00F8002F" w:rsidRDefault="00207F64" w:rsidP="00EC62C9">
      <w:pPr>
        <w:widowControl w:val="0"/>
        <w:tabs>
          <w:tab w:val="left" w:pos="2909"/>
          <w:tab w:val="left" w:pos="4685"/>
          <w:tab w:val="left" w:pos="6600"/>
          <w:tab w:val="left" w:pos="8021"/>
          <w:tab w:val="left" w:pos="8520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планированию анализа осуществления главными адм</w:t>
      </w:r>
      <w:r w:rsidR="00D027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инистраторами</w:t>
      </w:r>
      <w:r w:rsidR="00F5652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(администраторами)</w:t>
      </w:r>
      <w:r w:rsidR="00D027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средств</w:t>
      </w:r>
      <w:r w:rsidR="001101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местного бюджета</w:t>
      </w:r>
      <w:r w:rsidR="00D027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 w:rsidR="007969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нутреннего финансового </w:t>
      </w:r>
      <w:r w:rsidR="00D027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контроля и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внутреннего</w:t>
      </w:r>
      <w:r w:rsidR="00D0270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финансового аудита (далее - Анализ);</w:t>
      </w:r>
    </w:p>
    <w:p w:rsidR="00F8002F" w:rsidRPr="00F8002F" w:rsidRDefault="00207F64" w:rsidP="00EC62C9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проведению Анализа;</w:t>
      </w:r>
    </w:p>
    <w:p w:rsidR="00F8002F" w:rsidRPr="00F8002F" w:rsidRDefault="00207F64" w:rsidP="00EC62C9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оформлению результатов Анализа;</w:t>
      </w:r>
    </w:p>
    <w:p w:rsidR="00F8002F" w:rsidRPr="00F8002F" w:rsidRDefault="00207F64" w:rsidP="00EC62C9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составлению и представлению отчетности по результатам Анализа.</w:t>
      </w:r>
    </w:p>
    <w:p w:rsidR="00F8002F" w:rsidRPr="00F8002F" w:rsidRDefault="006E01E2" w:rsidP="00363294">
      <w:pPr>
        <w:widowControl w:val="0"/>
        <w:tabs>
          <w:tab w:val="left" w:pos="1253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1.3.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Целью Анализа является формирование и направление главным</w:t>
      </w:r>
      <w:r w:rsidR="00EC62C9" w:rsidRPr="006E01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администраторам</w:t>
      </w:r>
      <w:r w:rsidR="00E679F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(администраторам)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средств</w:t>
      </w:r>
      <w:r w:rsidR="004F447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местного бюджета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рекомендаций по </w:t>
      </w:r>
      <w:r w:rsidR="00EC62C9" w:rsidRPr="006E01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организации и осуществлению ими внутреннего финансового контроля и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внутреннего</w:t>
      </w:r>
      <w:r w:rsidR="00EC62C9" w:rsidRPr="006E01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финансового аудита.</w:t>
      </w:r>
    </w:p>
    <w:p w:rsidR="005D44A7" w:rsidRDefault="00985D9D" w:rsidP="00985D9D">
      <w:pPr>
        <w:widowControl w:val="0"/>
        <w:tabs>
          <w:tab w:val="left" w:pos="125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1.4.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Задачами Анализа являются:</w:t>
      </w:r>
    </w:p>
    <w:p w:rsidR="00F8002F" w:rsidRPr="00F8002F" w:rsidRDefault="005D44A7" w:rsidP="00985D9D">
      <w:pPr>
        <w:widowControl w:val="0"/>
        <w:tabs>
          <w:tab w:val="left" w:pos="1253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E80A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оценка осуществления главными администраторами</w:t>
      </w:r>
      <w:r w:rsidR="00387F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(администраторами)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средств</w:t>
      </w:r>
      <w:r w:rsidR="002161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местного бюджета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внутреннего финансового контроля и внутреннего финансового аудита;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F8002F" w:rsidRPr="00F8002F" w:rsidRDefault="00216102" w:rsidP="00216102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выявление недостатков в осуществлении главными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дминистраторами</w:t>
      </w:r>
      <w:r w:rsidR="00387F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(администраторами)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средств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местного бюджета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внутреннего финансового контроля и внутреннего </w:t>
      </w:r>
      <w:r w:rsidR="005D44A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финансового аудита.</w:t>
      </w:r>
    </w:p>
    <w:p w:rsidR="00F8002F" w:rsidRPr="00F8002F" w:rsidRDefault="00177E58" w:rsidP="00177E58">
      <w:pPr>
        <w:widowControl w:val="0"/>
        <w:tabs>
          <w:tab w:val="left" w:pos="1316"/>
        </w:tabs>
        <w:spacing w:after="0" w:line="317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1.5.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Обмен информацией и документами </w:t>
      </w:r>
      <w:r w:rsidR="006813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органа внутреннего муниципального финансового контроля муниципального образования «</w:t>
      </w:r>
      <w:proofErr w:type="spellStart"/>
      <w:r w:rsidR="006813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Велижский</w:t>
      </w:r>
      <w:proofErr w:type="spellEnd"/>
      <w:r w:rsidR="006813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главных администраторов</w:t>
      </w:r>
      <w:r w:rsidR="00387F2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(администраторов)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средств</w:t>
      </w:r>
      <w:r w:rsidR="006813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местного бюджета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при проведении Анализа осуществляется с использованием бумажного документооборота. При наличии технической возможности такой обмен ос</w:t>
      </w:r>
      <w:r w:rsidR="001869E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уществляется в электронном виде.</w:t>
      </w:r>
    </w:p>
    <w:p w:rsidR="00F8002F" w:rsidRPr="00F8002F" w:rsidRDefault="00F8002F" w:rsidP="00F8002F">
      <w:pPr>
        <w:widowControl w:val="0"/>
        <w:spacing w:after="181" w:line="110" w:lineRule="exact"/>
        <w:jc w:val="right"/>
        <w:rPr>
          <w:rFonts w:ascii="Candara" w:eastAsia="Candara" w:hAnsi="Candara" w:cs="Candara"/>
          <w:i/>
          <w:iCs/>
          <w:sz w:val="11"/>
          <w:szCs w:val="11"/>
          <w:lang w:eastAsia="ru-RU" w:bidi="ru-RU"/>
        </w:rPr>
      </w:pPr>
    </w:p>
    <w:p w:rsidR="00F8002F" w:rsidRPr="00F8002F" w:rsidRDefault="00177E58" w:rsidP="005410E4">
      <w:pPr>
        <w:widowControl w:val="0"/>
        <w:spacing w:after="304" w:line="28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II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Участники проведения Анализа</w:t>
      </w:r>
    </w:p>
    <w:p w:rsidR="00F8002F" w:rsidRPr="00F8002F" w:rsidRDefault="00177E58" w:rsidP="00A71612">
      <w:pPr>
        <w:widowControl w:val="0"/>
        <w:tabs>
          <w:tab w:val="left" w:pos="1316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2.1.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Планирование, проведение и оформление результатов проведения Анализа, составление отчетности о результатах проведения Анализа осуществляется </w:t>
      </w:r>
      <w:r w:rsidR="00560E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уполномоченным органом внутреннего муниципального финансового контроля муниципального образования «</w:t>
      </w:r>
      <w:proofErr w:type="spellStart"/>
      <w:r w:rsidR="00560E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Велижский</w:t>
      </w:r>
      <w:proofErr w:type="spellEnd"/>
      <w:r w:rsidR="00560E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="00A716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A716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проведению и оформлению результатов Анализа могут привлекаться иные </w:t>
      </w:r>
      <w:r w:rsidR="00A628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специалисты Администрации муниципального образования «</w:t>
      </w:r>
      <w:proofErr w:type="spellStart"/>
      <w:r w:rsidR="00A628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Велижский</w:t>
      </w:r>
      <w:proofErr w:type="spellEnd"/>
      <w:r w:rsidR="00A6288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8002F" w:rsidRDefault="00177E58" w:rsidP="0024580F">
      <w:pPr>
        <w:widowControl w:val="0"/>
        <w:tabs>
          <w:tab w:val="left" w:pos="1316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2.2.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Деятельность </w:t>
      </w:r>
      <w:r w:rsidR="006F5C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уполномоченного </w:t>
      </w:r>
      <w:r w:rsidR="00A716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органа внутреннего муниципального финансового контроля муниципального образования «</w:t>
      </w:r>
      <w:proofErr w:type="spellStart"/>
      <w:r w:rsidR="00A716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Велижский</w:t>
      </w:r>
      <w:proofErr w:type="spellEnd"/>
      <w:r w:rsidR="00A716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="00295E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(далее – орган контроля)</w:t>
      </w:r>
      <w:r w:rsidR="00275827" w:rsidRPr="0027582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 главных администраторов</w:t>
      </w:r>
      <w:r w:rsidR="00C069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(администраторов)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средств</w:t>
      </w:r>
      <w:r w:rsidR="00A7161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местного бюджета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связанная с проведением Анализа, осуществляется в соответствии с настоящим Порядком.</w:t>
      </w:r>
    </w:p>
    <w:p w:rsidR="00B30EF9" w:rsidRPr="00F8002F" w:rsidRDefault="00B30EF9" w:rsidP="0024580F">
      <w:pPr>
        <w:widowControl w:val="0"/>
        <w:tabs>
          <w:tab w:val="left" w:pos="1316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8002F" w:rsidRPr="00F8002F" w:rsidRDefault="00124EA5" w:rsidP="00124EA5">
      <w:pPr>
        <w:widowControl w:val="0"/>
        <w:tabs>
          <w:tab w:val="left" w:pos="3959"/>
        </w:tabs>
        <w:spacing w:after="299" w:line="28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III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Планирование Анализа</w:t>
      </w:r>
    </w:p>
    <w:p w:rsidR="00F8002F" w:rsidRPr="00F8002F" w:rsidRDefault="001D1573" w:rsidP="001D1573">
      <w:pPr>
        <w:widowControl w:val="0"/>
        <w:tabs>
          <w:tab w:val="left" w:pos="1327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3.1.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Анализа подлежит ежегодному планированию.</w:t>
      </w:r>
    </w:p>
    <w:p w:rsidR="00F8002F" w:rsidRPr="00F8002F" w:rsidRDefault="001D1573" w:rsidP="00880E64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Планирование Анализа осуществляется </w:t>
      </w:r>
      <w:r w:rsidR="003650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органом контроля</w:t>
      </w:r>
      <w:r w:rsidR="00880E64" w:rsidRPr="00880E6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 целях </w:t>
      </w:r>
      <w:proofErr w:type="gramStart"/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составления плана проведения анализа осуществления</w:t>
      </w:r>
      <w:proofErr w:type="gramEnd"/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главными администраторами</w:t>
      </w:r>
      <w:r w:rsidR="007E0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(администраторами)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средств</w:t>
      </w:r>
      <w:r w:rsidR="003650D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местного бюджета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внутреннего финансового контроля и внутреннего финансового аудита на очередной год (далее - План).</w:t>
      </w:r>
    </w:p>
    <w:p w:rsidR="00F8002F" w:rsidRPr="00F8002F" w:rsidRDefault="001D1573" w:rsidP="001D1573">
      <w:pPr>
        <w:widowControl w:val="0"/>
        <w:tabs>
          <w:tab w:val="left" w:pos="1316"/>
        </w:tabs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3.2.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План формируются в разрезе главных администраторов</w:t>
      </w:r>
      <w:r w:rsidR="007E0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(администраторов)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средств</w:t>
      </w:r>
      <w:r w:rsidR="000846D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местного бюджета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в отношении деятельно</w:t>
      </w:r>
      <w:r w:rsidR="008F72C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сти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которых в соответствующем году запланировано проведение Анализа. По каждому главному администратору</w:t>
      </w:r>
      <w:r w:rsidR="007E0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(администратору)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средств</w:t>
      </w:r>
      <w:r w:rsidR="00181A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местного бюджета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Плане указываются:</w:t>
      </w:r>
    </w:p>
    <w:p w:rsidR="00F8002F" w:rsidRPr="00F8002F" w:rsidRDefault="004F321A" w:rsidP="00880E64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181A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наименование главного администратора</w:t>
      </w:r>
      <w:r w:rsidR="007E0A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(администратора)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средств</w:t>
      </w:r>
      <w:r w:rsidR="00181A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местного бюджета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1D1573" w:rsidRPr="001D1573" w:rsidRDefault="004F321A" w:rsidP="00247AF8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181A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247A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анализируемый период осуществления главными администраторами </w:t>
      </w:r>
      <w:r w:rsidR="00247AF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(администраторами) средств местного бюджета внутреннего финансового контроля и внутреннего финансового аудита.</w:t>
      </w:r>
    </w:p>
    <w:p w:rsidR="001D1573" w:rsidRPr="001D1573" w:rsidRDefault="004F321A" w:rsidP="00880E64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3.3. </w:t>
      </w:r>
      <w:r w:rsidR="001D02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План</w:t>
      </w:r>
      <w:r w:rsidR="001D1573" w:rsidRPr="001D15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сос</w:t>
      </w:r>
      <w:r w:rsidR="00AF45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тавля</w:t>
      </w:r>
      <w:r w:rsidR="001D02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</w:t>
      </w:r>
      <w:r w:rsidR="00AF45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тся </w:t>
      </w:r>
      <w:r w:rsidR="001D02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 очередной календарный год</w:t>
      </w:r>
      <w:r w:rsidR="002230B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1D1573" w:rsidRPr="001D15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утвержда</w:t>
      </w:r>
      <w:r w:rsidR="001D02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</w:t>
      </w:r>
      <w:r w:rsidR="001D1573" w:rsidRPr="001D15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тся </w:t>
      </w:r>
      <w:r w:rsidR="00AF45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Главой муниципального образования «</w:t>
      </w:r>
      <w:proofErr w:type="spellStart"/>
      <w:r w:rsidR="00AF45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Велижский</w:t>
      </w:r>
      <w:proofErr w:type="spellEnd"/>
      <w:r w:rsidR="00AF458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="001D02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до 31 декабря текущего года.</w:t>
      </w:r>
    </w:p>
    <w:p w:rsidR="001D1573" w:rsidRPr="001D1573" w:rsidRDefault="004F321A" w:rsidP="00880E64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3.4. </w:t>
      </w:r>
      <w:r w:rsidR="001D1573" w:rsidRPr="001D15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Анализа в отношении главных администраторов</w:t>
      </w:r>
      <w:r w:rsidR="00B343A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(администраторов)</w:t>
      </w:r>
      <w:r w:rsidR="001D1573" w:rsidRPr="001D15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средств</w:t>
      </w:r>
      <w:r w:rsidR="002D10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местного бюджета</w:t>
      </w:r>
      <w:r w:rsidR="001D1573" w:rsidRPr="001D15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не включенных в План, допускается после внесения в План изменений, утверждаемых </w:t>
      </w:r>
      <w:r w:rsidR="00B824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Главой муниципального образования «</w:t>
      </w:r>
      <w:proofErr w:type="spellStart"/>
      <w:r w:rsidR="00B824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Велижский</w:t>
      </w:r>
      <w:proofErr w:type="spellEnd"/>
      <w:r w:rsidR="00B824B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="001D1573" w:rsidRPr="001D15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D1573" w:rsidRPr="001D1573" w:rsidRDefault="008C46CA" w:rsidP="00880E64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1D1573" w:rsidRPr="001D15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случае если объем изменений составляет более тридцати процентов от общего объема информации, содержащейся в Плане, внесение изменений в План осуществляется путем утверждения новой редакции Плана.</w:t>
      </w:r>
    </w:p>
    <w:p w:rsidR="001D1573" w:rsidRPr="001D1573" w:rsidRDefault="008C46CA" w:rsidP="00880E64">
      <w:pPr>
        <w:widowControl w:val="0"/>
        <w:spacing w:after="0" w:line="322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3.5. </w:t>
      </w:r>
      <w:r w:rsidR="001D1573" w:rsidRPr="001D15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Копия Плана (изменений в План) в течение 5 рабочих дней со дня утверждения Плана (внесения в него изменений) размещается на официальном сайте  муниципального образования «</w:t>
      </w:r>
      <w:proofErr w:type="spellStart"/>
      <w:r w:rsidR="0053350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Велижский</w:t>
      </w:r>
      <w:proofErr w:type="spellEnd"/>
      <w:r w:rsidR="001D1573" w:rsidRPr="001D15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район» в информационно-телекоммуникационной сети "Интернет".</w:t>
      </w:r>
    </w:p>
    <w:p w:rsidR="00F8002F" w:rsidRPr="00F8002F" w:rsidRDefault="00F8002F" w:rsidP="00F8002F">
      <w:pPr>
        <w:widowControl w:val="0"/>
        <w:spacing w:after="0" w:line="91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8002F" w:rsidRDefault="00F8002F" w:rsidP="00F8002F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8002F" w:rsidRPr="00F8002F" w:rsidRDefault="00E072A3" w:rsidP="00E072A3">
      <w:pPr>
        <w:widowControl w:val="0"/>
        <w:tabs>
          <w:tab w:val="left" w:pos="4086"/>
        </w:tabs>
        <w:spacing w:after="309" w:line="28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VI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Проведение Анализа</w:t>
      </w:r>
    </w:p>
    <w:p w:rsidR="00F8002F" w:rsidRPr="00F8002F" w:rsidRDefault="00B1330F" w:rsidP="00B1330F">
      <w:pPr>
        <w:widowControl w:val="0"/>
        <w:tabs>
          <w:tab w:val="left" w:pos="1344"/>
        </w:tabs>
        <w:spacing w:after="0" w:line="322" w:lineRule="exact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4.1.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Анализ проводится путем изучения информации и документов, представленных главными администраторами</w:t>
      </w:r>
      <w:r w:rsidR="00760D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(администраторами)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средств</w:t>
      </w:r>
      <w:r w:rsidR="00F16A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местного бюджета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 запросу</w:t>
      </w:r>
      <w:r w:rsidR="00367EE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76E1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органа контроля</w:t>
      </w:r>
      <w:r w:rsidR="00760DD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1563C9" w:rsidRPr="00CF06C9" w:rsidRDefault="00A9002A" w:rsidP="006C4D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6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4.2. </w:t>
      </w:r>
      <w:r w:rsidR="001563C9" w:rsidRPr="00CF06C9">
        <w:rPr>
          <w:rFonts w:ascii="Times New Roman" w:hAnsi="Times New Roman" w:cs="Times New Roman"/>
          <w:sz w:val="28"/>
          <w:szCs w:val="28"/>
          <w:lang w:eastAsia="ru-RU"/>
        </w:rPr>
        <w:t>Документами, подлежащими изучению, являются:</w:t>
      </w:r>
    </w:p>
    <w:p w:rsidR="001563C9" w:rsidRPr="00CF06C9" w:rsidRDefault="001563C9" w:rsidP="006C4D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6C9">
        <w:rPr>
          <w:rFonts w:ascii="Times New Roman" w:hAnsi="Times New Roman" w:cs="Times New Roman"/>
          <w:sz w:val="28"/>
          <w:szCs w:val="28"/>
          <w:lang w:eastAsia="ru-RU"/>
        </w:rPr>
        <w:t>- копии правовых актов главных администраторов</w:t>
      </w:r>
      <w:r w:rsidR="00CF06C9">
        <w:rPr>
          <w:rFonts w:ascii="Times New Roman" w:hAnsi="Times New Roman" w:cs="Times New Roman"/>
          <w:sz w:val="28"/>
          <w:szCs w:val="28"/>
          <w:lang w:eastAsia="ru-RU"/>
        </w:rPr>
        <w:t xml:space="preserve"> (администраторов)</w:t>
      </w:r>
      <w:r w:rsidRPr="00CF06C9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местного бюджета, регламентирующих организацию и осуществление внутреннего финансового контроля и внутреннего финансового аудита;</w:t>
      </w:r>
    </w:p>
    <w:p w:rsidR="001563C9" w:rsidRPr="00CF06C9" w:rsidRDefault="001563C9" w:rsidP="006C4D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6C9">
        <w:rPr>
          <w:rFonts w:ascii="Times New Roman" w:hAnsi="Times New Roman" w:cs="Times New Roman"/>
          <w:sz w:val="28"/>
          <w:szCs w:val="28"/>
          <w:lang w:eastAsia="ru-RU"/>
        </w:rPr>
        <w:t>- копии документов по организации и осуществлению внутреннего финансового контроля, внутреннего финансового аудита;</w:t>
      </w:r>
    </w:p>
    <w:p w:rsidR="001563C9" w:rsidRPr="00CF06C9" w:rsidRDefault="001563C9" w:rsidP="006C4DA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06C9">
        <w:rPr>
          <w:rFonts w:ascii="Times New Roman" w:hAnsi="Times New Roman" w:cs="Times New Roman"/>
          <w:sz w:val="28"/>
          <w:szCs w:val="28"/>
          <w:lang w:eastAsia="ru-RU"/>
        </w:rPr>
        <w:t>- копии отчетности о результатах внутреннего финансового контроля, направленной руководителю главного администратора</w:t>
      </w:r>
      <w:r w:rsidR="000E0AEF">
        <w:rPr>
          <w:rFonts w:ascii="Times New Roman" w:hAnsi="Times New Roman" w:cs="Times New Roman"/>
          <w:sz w:val="28"/>
          <w:szCs w:val="28"/>
          <w:lang w:eastAsia="ru-RU"/>
        </w:rPr>
        <w:t xml:space="preserve"> (администратора)</w:t>
      </w:r>
      <w:r w:rsidRPr="00CF06C9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местного бюджета;</w:t>
      </w:r>
    </w:p>
    <w:p w:rsidR="001563C9" w:rsidRPr="001563C9" w:rsidRDefault="001563C9" w:rsidP="006C4D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годовых планов осуществления внутреннего финансового аудита;</w:t>
      </w:r>
    </w:p>
    <w:p w:rsidR="001563C9" w:rsidRPr="001563C9" w:rsidRDefault="001563C9" w:rsidP="006C4D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годовой отчетности внутреннего финансового аудита, содержащей информацию, подтверждающую выводы о надежности внутреннего финансового контроля, достоверности сводной бюджетной отчетности главного администратора</w:t>
      </w:r>
      <w:r w:rsidR="00CE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(администратора)</w:t>
      </w:r>
      <w:r w:rsidRPr="0015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местного бюджета;</w:t>
      </w:r>
    </w:p>
    <w:p w:rsidR="001563C9" w:rsidRPr="001563C9" w:rsidRDefault="001563C9" w:rsidP="006C4D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C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 с информацией о принятых мерах и результатах исполнения решений по выявленным внутренним финансовым аудитом недостаткам и нарушениям;</w:t>
      </w:r>
    </w:p>
    <w:p w:rsidR="001563C9" w:rsidRPr="001563C9" w:rsidRDefault="001563C9" w:rsidP="006C4DA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документы, формирование которых необходимо в соответствии с законодательством Российской Федерации, </w:t>
      </w:r>
      <w:r w:rsidR="00B3248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Pr="0015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н</w:t>
      </w:r>
      <w:r w:rsidR="00DD2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ормативными актами муниципальных</w:t>
      </w:r>
      <w:r w:rsidRPr="0015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DD276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5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3248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B324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1563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B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9B725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="009B7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156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организации и осуществления внутреннего финансового контроля и внутреннего финансового аудита.</w:t>
      </w:r>
    </w:p>
    <w:p w:rsidR="00EE1F32" w:rsidRPr="00EE1F32" w:rsidRDefault="001C6C4A" w:rsidP="00EE1F32">
      <w:pPr>
        <w:widowControl w:val="0"/>
        <w:tabs>
          <w:tab w:val="left" w:pos="1327"/>
        </w:tabs>
        <w:spacing w:after="0" w:line="317" w:lineRule="exact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4.3. </w:t>
      </w:r>
      <w:r w:rsidR="00EE1F32" w:rsidRPr="00EE1F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Запрос с указанием срока представления запрашиваемых информации и </w:t>
      </w:r>
      <w:r w:rsidR="00EE1F32" w:rsidRPr="00EE1F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документов направляется в адрес главных администраторов</w:t>
      </w:r>
      <w:r w:rsidR="00EE1F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(администраторов)</w:t>
      </w:r>
      <w:r w:rsidR="00EE1F32" w:rsidRPr="00EE1F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средств местного бюджета, в отношении деятельности которых проводится Анализ. При этом срок представления запрашиваемых информации и документов устанавливается </w:t>
      </w:r>
      <w:r w:rsidR="00EE1F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органом контроля</w:t>
      </w:r>
      <w:r w:rsidR="00EE1F32" w:rsidRPr="00EE1F3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830AC7" w:rsidRPr="00830AC7" w:rsidRDefault="008B6BDA" w:rsidP="00830AC7">
      <w:pPr>
        <w:widowControl w:val="0"/>
        <w:tabs>
          <w:tab w:val="left" w:pos="1326"/>
        </w:tabs>
        <w:spacing w:after="0" w:line="317" w:lineRule="exact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4.4. </w:t>
      </w:r>
      <w:r w:rsidR="001A08B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Органом контроля</w:t>
      </w:r>
      <w:r w:rsidR="00830AC7" w:rsidRPr="00830A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принимается решение о направлении в адрес главного администратора</w:t>
      </w:r>
      <w:r w:rsidR="001A08B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(администратора)</w:t>
      </w:r>
      <w:r w:rsidR="00830AC7" w:rsidRPr="00830A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средств местного бюджета повторного запроса о представлении документов и (или) информации в случаях:</w:t>
      </w:r>
    </w:p>
    <w:p w:rsidR="00830AC7" w:rsidRPr="00830AC7" w:rsidRDefault="00CD31F7" w:rsidP="00830AC7">
      <w:pPr>
        <w:widowControl w:val="0"/>
        <w:tabs>
          <w:tab w:val="left" w:pos="1326"/>
        </w:tabs>
        <w:spacing w:after="0" w:line="317" w:lineRule="exact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="00830AC7" w:rsidRPr="00830A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непредставления запрошенных документов и (или) информации;</w:t>
      </w:r>
    </w:p>
    <w:p w:rsidR="00830AC7" w:rsidRPr="00830AC7" w:rsidRDefault="00CD31F7" w:rsidP="00830AC7">
      <w:pPr>
        <w:widowControl w:val="0"/>
        <w:tabs>
          <w:tab w:val="left" w:pos="1326"/>
        </w:tabs>
        <w:spacing w:after="0" w:line="317" w:lineRule="exact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="00830AC7" w:rsidRPr="00830A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представления запрошенных документов и (или) информации не в полном объеме;</w:t>
      </w:r>
    </w:p>
    <w:p w:rsidR="00830AC7" w:rsidRPr="00830AC7" w:rsidRDefault="00CD31F7" w:rsidP="00830AC7">
      <w:pPr>
        <w:widowControl w:val="0"/>
        <w:tabs>
          <w:tab w:val="left" w:pos="1326"/>
        </w:tabs>
        <w:spacing w:after="0" w:line="317" w:lineRule="exact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="00830AC7" w:rsidRPr="00830A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необходимости дополнительного документального подтверждения ранее представленной информации.</w:t>
      </w:r>
    </w:p>
    <w:p w:rsidR="00830AC7" w:rsidRPr="00830AC7" w:rsidRDefault="00CD31F7" w:rsidP="00830AC7">
      <w:pPr>
        <w:widowControl w:val="0"/>
        <w:tabs>
          <w:tab w:val="left" w:pos="1326"/>
        </w:tabs>
        <w:spacing w:after="0" w:line="317" w:lineRule="exact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="00830AC7" w:rsidRPr="00830A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Срок представления документов и (или) информации, устанавливаемый в повторном запросе, не может составлять менее 5 рабочих дней со дня направления запроса в адрес главного администратора</w:t>
      </w:r>
      <w:r w:rsidR="00027E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(администратора)</w:t>
      </w:r>
      <w:r w:rsidR="00830AC7" w:rsidRPr="00830AC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средств местного бюджета, в отношении деятельности которого проводится Анализ.</w:t>
      </w:r>
    </w:p>
    <w:p w:rsidR="00004997" w:rsidRPr="00004997" w:rsidRDefault="00F04DFF" w:rsidP="00004997">
      <w:pPr>
        <w:widowControl w:val="0"/>
        <w:tabs>
          <w:tab w:val="left" w:pos="1326"/>
        </w:tabs>
        <w:spacing w:after="0" w:line="317" w:lineRule="exact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4.5. </w:t>
      </w:r>
      <w:r w:rsidR="00004997" w:rsidRPr="000049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Главные администраторы</w:t>
      </w:r>
      <w:r w:rsidR="00E16E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(администраторы)</w:t>
      </w:r>
      <w:r w:rsidR="00004997" w:rsidRPr="000049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средств местного бюджета представляют запрашиваемые информацию и документы в </w:t>
      </w:r>
      <w:r w:rsidR="00E16EC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 контроля</w:t>
      </w:r>
      <w:r w:rsidR="00004997" w:rsidRPr="000049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 сопроводительным письмом и описью представляемых информации и документов не позднее срока, установленного в запросе.</w:t>
      </w:r>
    </w:p>
    <w:p w:rsidR="00004997" w:rsidRPr="00004997" w:rsidRDefault="00E16EC4" w:rsidP="00004997">
      <w:pPr>
        <w:widowControl w:val="0"/>
        <w:tabs>
          <w:tab w:val="left" w:pos="1326"/>
        </w:tabs>
        <w:spacing w:after="0" w:line="317" w:lineRule="exact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004997" w:rsidRPr="000049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 случае превышения главными администраторами</w:t>
      </w:r>
      <w:r w:rsidR="0063275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(администраторами)</w:t>
      </w:r>
      <w:r w:rsidR="00004997" w:rsidRPr="000049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средств местного бюджета срока представления документов и (или) информации, указанного в запросе, более чем на 10 календарных дней, такие документы и (или) информация признаются непредставленными.</w:t>
      </w:r>
    </w:p>
    <w:p w:rsidR="00C560FB" w:rsidRPr="00C560FB" w:rsidRDefault="00EC5B59" w:rsidP="00C560FB">
      <w:pPr>
        <w:widowControl w:val="0"/>
        <w:tabs>
          <w:tab w:val="left" w:pos="1648"/>
          <w:tab w:val="left" w:pos="9923"/>
        </w:tabs>
        <w:spacing w:after="0" w:line="317" w:lineRule="exact"/>
        <w:ind w:right="4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4.6. </w:t>
      </w:r>
      <w:r w:rsidR="00025BC5" w:rsidRPr="00025B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Анализ проводится путем сопоставления полученной информации и документов с требованиями, установленными Порядком </w:t>
      </w:r>
      <w:r w:rsidR="00C560FB" w:rsidRPr="00C560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осуществления </w:t>
      </w:r>
    </w:p>
    <w:p w:rsidR="00C560FB" w:rsidRPr="00C560FB" w:rsidRDefault="00C560FB" w:rsidP="00C560FB">
      <w:pPr>
        <w:widowControl w:val="0"/>
        <w:tabs>
          <w:tab w:val="left" w:pos="1648"/>
          <w:tab w:val="left" w:pos="9923"/>
        </w:tabs>
        <w:spacing w:after="0" w:line="317" w:lineRule="exact"/>
        <w:ind w:right="4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560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главными    распорядителями (распорядителями)  средств,  главными администраторами (администраторами) доходов,  главными  администраторами (администраторами)     источников финансирования   дефицита   бюджетов муниципального    образования «</w:t>
      </w:r>
      <w:proofErr w:type="spellStart"/>
      <w:r w:rsidRPr="00C560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Велижский</w:t>
      </w:r>
      <w:proofErr w:type="spellEnd"/>
      <w:r w:rsidRPr="00C560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район» </w:t>
      </w:r>
      <w:proofErr w:type="gramEnd"/>
    </w:p>
    <w:p w:rsidR="00025BC5" w:rsidRPr="00025BC5" w:rsidRDefault="00C560FB" w:rsidP="00C560FB">
      <w:pPr>
        <w:widowControl w:val="0"/>
        <w:tabs>
          <w:tab w:val="left" w:pos="1648"/>
          <w:tab w:val="left" w:pos="9923"/>
        </w:tabs>
        <w:spacing w:after="0" w:line="317" w:lineRule="exact"/>
        <w:ind w:right="4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C560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и   муниципального образования </w:t>
      </w:r>
      <w:proofErr w:type="spellStart"/>
      <w:r w:rsidRPr="00C560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Велижское</w:t>
      </w:r>
      <w:proofErr w:type="spellEnd"/>
      <w:r w:rsidRPr="00C560F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городское поселение внутреннего     финансового    контроля    и внутреннего   финансового     аудита</w:t>
      </w:r>
      <w:r w:rsidR="00025BC5" w:rsidRPr="00025B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утвержденным постановлением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</w:t>
      </w:r>
      <w:r w:rsidR="00025BC5" w:rsidRPr="00025B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дминистрации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муниципального образования «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Велижский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район»</w:t>
      </w:r>
      <w:r w:rsidR="00025BC5" w:rsidRPr="00025B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от 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1</w:t>
      </w:r>
      <w:r w:rsidR="00025BC5" w:rsidRPr="00025B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0</w:t>
      </w:r>
      <w:r w:rsidR="00025BC5" w:rsidRPr="00025B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.201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9 № 470</w:t>
      </w:r>
      <w:r w:rsidR="00025BC5" w:rsidRPr="00025B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и иными нормативными правовыми актами Российской Федерации, </w:t>
      </w:r>
      <w:r w:rsidR="004923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Смоленской </w:t>
      </w:r>
      <w:r w:rsidR="00025BC5" w:rsidRPr="00025B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области, </w:t>
      </w:r>
      <w:r w:rsidR="00397D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муниципальных</w:t>
      </w:r>
      <w:r w:rsidR="004923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образовани</w:t>
      </w:r>
      <w:r w:rsidR="00397D6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й</w:t>
      </w:r>
      <w:r w:rsidR="004923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proofErr w:type="spellStart"/>
      <w:r w:rsidR="004923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Велижский</w:t>
      </w:r>
      <w:proofErr w:type="spellEnd"/>
      <w:r w:rsidR="004923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район» </w:t>
      </w:r>
      <w:r w:rsidR="00976D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(или) </w:t>
      </w:r>
      <w:proofErr w:type="spellStart"/>
      <w:r w:rsidR="00976D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Велижское</w:t>
      </w:r>
      <w:proofErr w:type="spellEnd"/>
      <w:r w:rsidR="00976D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городское поселение </w:t>
      </w:r>
      <w:r w:rsidR="00025BC5" w:rsidRPr="00025B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регулирующими вопросы организации и осуществления главными администраторами</w:t>
      </w:r>
      <w:r w:rsidR="004923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(администраторами) </w:t>
      </w:r>
      <w:r w:rsidR="00025BC5" w:rsidRPr="00025BC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средств местного бюджета внутреннего финансового контроля и внутреннего финансового аудита.</w:t>
      </w:r>
      <w:proofErr w:type="gramEnd"/>
    </w:p>
    <w:p w:rsidR="00223282" w:rsidRPr="00223282" w:rsidRDefault="00223282" w:rsidP="00223282">
      <w:pPr>
        <w:widowControl w:val="0"/>
        <w:tabs>
          <w:tab w:val="left" w:pos="1648"/>
          <w:tab w:val="left" w:pos="9923"/>
        </w:tabs>
        <w:spacing w:after="0" w:line="317" w:lineRule="exact"/>
        <w:ind w:right="4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4.7. При Анализе изучению подлежат:</w:t>
      </w:r>
    </w:p>
    <w:p w:rsidR="00223282" w:rsidRPr="00223282" w:rsidRDefault="00223282" w:rsidP="00223282">
      <w:pPr>
        <w:widowControl w:val="0"/>
        <w:tabs>
          <w:tab w:val="left" w:pos="1648"/>
          <w:tab w:val="left" w:pos="9923"/>
        </w:tabs>
        <w:spacing w:after="0" w:line="317" w:lineRule="exact"/>
        <w:ind w:right="4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4.7.1. Сведения о структуре главного администратора</w:t>
      </w:r>
      <w:r w:rsidR="00E7273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(администратора)</w:t>
      </w:r>
      <w:r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средств местного бюджета в части:</w:t>
      </w:r>
    </w:p>
    <w:p w:rsidR="00223282" w:rsidRPr="00223282" w:rsidRDefault="00223282" w:rsidP="00223282">
      <w:pPr>
        <w:widowControl w:val="0"/>
        <w:tabs>
          <w:tab w:val="left" w:pos="1648"/>
          <w:tab w:val="left" w:pos="9923"/>
        </w:tabs>
        <w:spacing w:after="0" w:line="317" w:lineRule="exact"/>
        <w:ind w:right="4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структуры подразделений, осуществляющих внутренние процедуры составления и исполнения бюджета, ведения бюджетного учета и составления бюджетной отчетности (далее - внутренние бюджетные процедуры);</w:t>
      </w:r>
    </w:p>
    <w:p w:rsidR="00223282" w:rsidRPr="00223282" w:rsidRDefault="00223282" w:rsidP="00223282">
      <w:pPr>
        <w:widowControl w:val="0"/>
        <w:tabs>
          <w:tab w:val="left" w:pos="1648"/>
          <w:tab w:val="left" w:pos="9923"/>
        </w:tabs>
        <w:spacing w:after="0" w:line="317" w:lineRule="exact"/>
        <w:ind w:right="4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     </w:t>
      </w:r>
      <w:r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сведений о подведомственных главному администратору</w:t>
      </w:r>
      <w:r w:rsidR="00A90A7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(администратору)</w:t>
      </w:r>
      <w:r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средств местного бюджета получателях средств местного бюджета;</w:t>
      </w:r>
    </w:p>
    <w:p w:rsidR="00223282" w:rsidRPr="00223282" w:rsidRDefault="00223282" w:rsidP="00223282">
      <w:pPr>
        <w:widowControl w:val="0"/>
        <w:tabs>
          <w:tab w:val="left" w:pos="1648"/>
          <w:tab w:val="left" w:pos="9923"/>
        </w:tabs>
        <w:spacing w:after="0" w:line="317" w:lineRule="exact"/>
        <w:ind w:right="4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структуры подразделения, наделенного полномочиями по осуществлению внутреннего финансового аудита (при наличии).</w:t>
      </w:r>
    </w:p>
    <w:p w:rsidR="00223282" w:rsidRPr="00223282" w:rsidRDefault="009578FF" w:rsidP="00223282">
      <w:pPr>
        <w:widowControl w:val="0"/>
        <w:tabs>
          <w:tab w:val="left" w:pos="1648"/>
          <w:tab w:val="left" w:pos="9923"/>
        </w:tabs>
        <w:spacing w:after="0" w:line="317" w:lineRule="exact"/>
        <w:ind w:right="4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223282"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4.7.2. Правовые акты главного администратора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(администратора)</w:t>
      </w:r>
      <w:r w:rsidR="00223282"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средств местного бюджета, регламентирующие организацию и осуществление им внутреннего финансового контроля и внутреннего финансового аудита.</w:t>
      </w:r>
    </w:p>
    <w:p w:rsidR="00223282" w:rsidRPr="00223282" w:rsidRDefault="009578FF" w:rsidP="00223282">
      <w:pPr>
        <w:widowControl w:val="0"/>
        <w:tabs>
          <w:tab w:val="left" w:pos="1648"/>
          <w:tab w:val="left" w:pos="9923"/>
        </w:tabs>
        <w:spacing w:after="0" w:line="317" w:lineRule="exact"/>
        <w:ind w:right="4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223282"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4.7.3. Организация и осуществление внутреннего финансового контроля в отношении внутренних бюджетных процедур, в том числе:</w:t>
      </w:r>
    </w:p>
    <w:p w:rsidR="00223282" w:rsidRPr="00223282" w:rsidRDefault="00845F84" w:rsidP="00223282">
      <w:pPr>
        <w:widowControl w:val="0"/>
        <w:tabs>
          <w:tab w:val="left" w:pos="1648"/>
          <w:tab w:val="left" w:pos="9923"/>
        </w:tabs>
        <w:spacing w:after="0" w:line="317" w:lineRule="exact"/>
        <w:ind w:right="4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223282"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формирование перечней операций (действий по формированию документов, необходимых для выполнения внутренней бюджетной процедуры) в структурных подразделениях главного администратора</w:t>
      </w:r>
      <w:r w:rsidR="00F518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(администратора)</w:t>
      </w:r>
      <w:r w:rsidR="00223282"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средств местного бюджета, ответственных за выполнение внутренних бюджетных процедур;</w:t>
      </w:r>
    </w:p>
    <w:p w:rsidR="00223282" w:rsidRPr="00223282" w:rsidRDefault="00845F84" w:rsidP="00223282">
      <w:pPr>
        <w:widowControl w:val="0"/>
        <w:tabs>
          <w:tab w:val="left" w:pos="1648"/>
          <w:tab w:val="left" w:pos="9923"/>
        </w:tabs>
        <w:spacing w:after="0" w:line="317" w:lineRule="exact"/>
        <w:ind w:right="4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223282"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формирование (актуализация) и утверждение карт внутреннего финансового контроля по каждому подразделению главного администратора</w:t>
      </w:r>
      <w:r w:rsidR="00F518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(администратора)</w:t>
      </w:r>
      <w:r w:rsidR="00223282"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средств местного бюджета, ответственному за результаты выполнения внутренних бюджетных процедур;</w:t>
      </w:r>
    </w:p>
    <w:p w:rsidR="00223282" w:rsidRPr="00223282" w:rsidRDefault="00845F84" w:rsidP="00223282">
      <w:pPr>
        <w:widowControl w:val="0"/>
        <w:tabs>
          <w:tab w:val="left" w:pos="1648"/>
          <w:tab w:val="left" w:pos="9923"/>
        </w:tabs>
        <w:spacing w:after="0" w:line="317" w:lineRule="exact"/>
        <w:ind w:right="4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223282"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ведение, учет, хранение регистров (журналов) внутреннего финансового контроля в подразделении главного администратора</w:t>
      </w:r>
      <w:r w:rsidR="00F518C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(администратора)</w:t>
      </w:r>
      <w:r w:rsidR="00223282"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средств местного бюджета, ответственном за выполнение внутренних бюджетных процедур;</w:t>
      </w:r>
    </w:p>
    <w:p w:rsidR="00223282" w:rsidRPr="00223282" w:rsidRDefault="00845F84" w:rsidP="00223282">
      <w:pPr>
        <w:widowControl w:val="0"/>
        <w:tabs>
          <w:tab w:val="left" w:pos="1648"/>
          <w:tab w:val="left" w:pos="9923"/>
        </w:tabs>
        <w:spacing w:after="0" w:line="317" w:lineRule="exact"/>
        <w:ind w:right="4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223282"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рассмотрение результатов внутреннего финансового контроля и принятие решений, в том числе с учетом информации, указанной в актах, заключениях, представлениях и предписаниях органов контроля, отчетах внутреннего финансового аудита, представляемых руководству главного администратора</w:t>
      </w:r>
      <w:r w:rsidR="0061748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(администратора)</w:t>
      </w:r>
      <w:r w:rsidR="00223282"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средств местного бюджета.</w:t>
      </w:r>
    </w:p>
    <w:p w:rsidR="00223282" w:rsidRPr="00223282" w:rsidRDefault="00644506" w:rsidP="00223282">
      <w:pPr>
        <w:widowControl w:val="0"/>
        <w:tabs>
          <w:tab w:val="left" w:pos="1648"/>
          <w:tab w:val="left" w:pos="9923"/>
        </w:tabs>
        <w:spacing w:after="0" w:line="317" w:lineRule="exact"/>
        <w:ind w:right="4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223282"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4.7.4. Организация и осуществление внутреннего финансового аудита, в том числе:</w:t>
      </w:r>
    </w:p>
    <w:p w:rsidR="00223282" w:rsidRPr="00223282" w:rsidRDefault="00644506" w:rsidP="00223282">
      <w:pPr>
        <w:widowControl w:val="0"/>
        <w:tabs>
          <w:tab w:val="left" w:pos="1648"/>
          <w:tab w:val="left" w:pos="9923"/>
        </w:tabs>
        <w:spacing w:after="0" w:line="317" w:lineRule="exact"/>
        <w:ind w:right="4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223282"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проведение предварительного анализа данных об объектах аудита при планирован</w:t>
      </w:r>
      <w:proofErr w:type="gramStart"/>
      <w:r w:rsidR="00223282"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ии ау</w:t>
      </w:r>
      <w:proofErr w:type="gramEnd"/>
      <w:r w:rsidR="00223282"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диторских проверок (составлении плана и программы аудиторской проверки);</w:t>
      </w:r>
    </w:p>
    <w:p w:rsidR="00223282" w:rsidRPr="00223282" w:rsidRDefault="00644506" w:rsidP="00223282">
      <w:pPr>
        <w:widowControl w:val="0"/>
        <w:tabs>
          <w:tab w:val="left" w:pos="1648"/>
          <w:tab w:val="left" w:pos="9923"/>
        </w:tabs>
        <w:spacing w:after="0" w:line="317" w:lineRule="exact"/>
        <w:ind w:right="4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223282"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утверждение руководителем главного администратора</w:t>
      </w:r>
      <w:r w:rsidR="008133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(администратора)</w:t>
      </w:r>
      <w:r w:rsidR="00223282"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средств местного бюджета годового плана внутреннего финансового аудита и составление программ аудиторских проверок;</w:t>
      </w:r>
    </w:p>
    <w:p w:rsidR="00223282" w:rsidRPr="00223282" w:rsidRDefault="00644506" w:rsidP="00223282">
      <w:pPr>
        <w:widowControl w:val="0"/>
        <w:tabs>
          <w:tab w:val="left" w:pos="1648"/>
          <w:tab w:val="left" w:pos="9923"/>
        </w:tabs>
        <w:spacing w:after="0" w:line="317" w:lineRule="exact"/>
        <w:ind w:right="4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223282"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проведение плановых и внеплановых аудиторских проверок;</w:t>
      </w:r>
    </w:p>
    <w:p w:rsidR="00223282" w:rsidRPr="00223282" w:rsidRDefault="00644506" w:rsidP="00223282">
      <w:pPr>
        <w:widowControl w:val="0"/>
        <w:tabs>
          <w:tab w:val="left" w:pos="1648"/>
          <w:tab w:val="left" w:pos="9923"/>
        </w:tabs>
        <w:spacing w:after="0" w:line="317" w:lineRule="exact"/>
        <w:ind w:right="4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223282"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направление руководителю главного администратора</w:t>
      </w:r>
      <w:r w:rsidR="008133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(администратора)</w:t>
      </w:r>
      <w:r w:rsidR="00223282"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средств местного бюджета отчетов о результатах аудиторских проверок с приложением актов аудиторских проверок;</w:t>
      </w:r>
    </w:p>
    <w:p w:rsidR="00223282" w:rsidRPr="00223282" w:rsidRDefault="00644506" w:rsidP="00223282">
      <w:pPr>
        <w:widowControl w:val="0"/>
        <w:tabs>
          <w:tab w:val="left" w:pos="1648"/>
          <w:tab w:val="left" w:pos="9923"/>
        </w:tabs>
        <w:spacing w:after="0" w:line="317" w:lineRule="exact"/>
        <w:ind w:right="4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223282"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составление и направление руководителю главного администратора</w:t>
      </w:r>
      <w:r w:rsidR="008133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(администратора)</w:t>
      </w:r>
      <w:r w:rsidR="00223282"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средств местного бюджета годовой отчетности о результатах осуществления внутреннего финансового аудита;</w:t>
      </w:r>
    </w:p>
    <w:p w:rsidR="00223282" w:rsidRPr="00223282" w:rsidRDefault="00644506" w:rsidP="00223282">
      <w:pPr>
        <w:widowControl w:val="0"/>
        <w:tabs>
          <w:tab w:val="left" w:pos="1648"/>
          <w:tab w:val="left" w:pos="9923"/>
        </w:tabs>
        <w:spacing w:after="0" w:line="317" w:lineRule="exact"/>
        <w:ind w:right="4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223282"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рассмотрение результатов внутреннего финансового аудита и принятие соответствующих решений руководителем главного администратора</w:t>
      </w:r>
      <w:r w:rsidR="0081333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(администратора)</w:t>
      </w:r>
      <w:r w:rsidR="00223282"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средств местного бюджета.</w:t>
      </w:r>
    </w:p>
    <w:p w:rsidR="00223282" w:rsidRPr="00223282" w:rsidRDefault="00714432" w:rsidP="00223282">
      <w:pPr>
        <w:widowControl w:val="0"/>
        <w:tabs>
          <w:tab w:val="left" w:pos="1648"/>
          <w:tab w:val="left" w:pos="9923"/>
        </w:tabs>
        <w:spacing w:after="0" w:line="317" w:lineRule="exact"/>
        <w:ind w:right="4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223282"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4.7.5. Документы и процедуры, необходимые в соответствии с </w:t>
      </w:r>
      <w:r w:rsidR="00223282"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законодательством Российской Федерации,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Смоленской</w:t>
      </w:r>
      <w:r w:rsidR="00223282"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области, нормативными актами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муниципальных образований «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Велижский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район» и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Велижское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городское поселение</w:t>
      </w:r>
      <w:r w:rsidR="00223282"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части организации и осуществления внутреннего финансового контроля и внутреннего финансового аудита.</w:t>
      </w:r>
    </w:p>
    <w:p w:rsidR="00223282" w:rsidRPr="00223282" w:rsidRDefault="00714432" w:rsidP="00223282">
      <w:pPr>
        <w:widowControl w:val="0"/>
        <w:tabs>
          <w:tab w:val="left" w:pos="1648"/>
          <w:tab w:val="left" w:pos="9923"/>
        </w:tabs>
        <w:spacing w:after="0" w:line="317" w:lineRule="exact"/>
        <w:ind w:right="4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223282"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4.8. Срок проведения </w:t>
      </w:r>
      <w:r w:rsidR="006B5A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органом</w:t>
      </w:r>
      <w:r w:rsidR="008B3BF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контроля</w:t>
      </w:r>
      <w:r w:rsidR="00223282"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Анализа не может превышать 10 рабочих дней со дня получения от главных администраторов</w:t>
      </w:r>
      <w:r w:rsidR="006B5A9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(администраторов)</w:t>
      </w:r>
      <w:r w:rsidR="00223282" w:rsidRPr="0022328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средств местного бюджета запрашиваемых информации и документов.</w:t>
      </w:r>
    </w:p>
    <w:p w:rsidR="00F8002F" w:rsidRPr="00F8002F" w:rsidRDefault="00F8002F" w:rsidP="00025BC5">
      <w:pPr>
        <w:widowControl w:val="0"/>
        <w:tabs>
          <w:tab w:val="left" w:pos="1648"/>
          <w:tab w:val="left" w:pos="9923"/>
        </w:tabs>
        <w:spacing w:after="0" w:line="317" w:lineRule="exact"/>
        <w:ind w:right="4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F8002F" w:rsidRPr="00F8002F" w:rsidRDefault="0047118C" w:rsidP="005410E4">
      <w:pPr>
        <w:widowControl w:val="0"/>
        <w:tabs>
          <w:tab w:val="left" w:pos="3300"/>
        </w:tabs>
        <w:spacing w:after="317" w:line="28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V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Оформление результатов Анализа</w:t>
      </w:r>
    </w:p>
    <w:p w:rsidR="00F8002F" w:rsidRPr="00F8002F" w:rsidRDefault="005D47F3" w:rsidP="0047118C">
      <w:pPr>
        <w:widowControl w:val="0"/>
        <w:tabs>
          <w:tab w:val="left" w:pos="1238"/>
        </w:tabs>
        <w:spacing w:after="0" w:line="317" w:lineRule="exact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5.1.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Для формализованной оценки организации и осуществления главным администратором</w:t>
      </w:r>
      <w:r w:rsidR="00F77E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(администратором)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бюджетных средств внутреннего финансового контроля и внутреннего финансового аудита и формирования количественных оценок по соответствующим критериям </w:t>
      </w:r>
      <w:r w:rsidR="00D922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орган </w:t>
      </w:r>
      <w:r w:rsidR="00D047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контроля</w:t>
      </w:r>
      <w:r w:rsidR="00EE2C9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использует Перечень вопросов, указанных в приложении №1 к настоящему Порядку (далее – Перечень вопросов).</w:t>
      </w:r>
    </w:p>
    <w:p w:rsidR="00F8002F" w:rsidRPr="00F8002F" w:rsidRDefault="00C23080" w:rsidP="0047118C">
      <w:pPr>
        <w:widowControl w:val="0"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D922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</w:t>
      </w:r>
      <w:r w:rsidR="00D92291" w:rsidRPr="00D9229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рган </w:t>
      </w:r>
      <w:r w:rsidR="00D047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контроля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итогам сопоставления документов и информации, представленных главным администратором</w:t>
      </w:r>
      <w:r w:rsidR="00D047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(администратором)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средств</w:t>
      </w:r>
      <w:r w:rsidR="00D047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местного бюджета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проставляет баллы по Перечню вопросов и обобщает их в итоговую оценку осуществления главным администратором</w:t>
      </w:r>
      <w:r w:rsidR="00D047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(администратором)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средств</w:t>
      </w:r>
      <w:r w:rsidR="00D0475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местного бюджета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внутреннего финансового контроля и внутреннего финансового аудита.</w:t>
      </w:r>
    </w:p>
    <w:p w:rsidR="00F8002F" w:rsidRPr="00F8002F" w:rsidRDefault="00537334" w:rsidP="0047118C">
      <w:pPr>
        <w:widowControl w:val="0"/>
        <w:tabs>
          <w:tab w:val="left" w:pos="1411"/>
        </w:tabs>
        <w:spacing w:after="0" w:line="317" w:lineRule="exact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5.2.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 результатам Анализа </w:t>
      </w:r>
      <w:r w:rsidR="001D0DEA" w:rsidRPr="001D0DEA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орган контроля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участвующие в проведении Анализа, подготавливают заключение, которое должно содержать:</w:t>
      </w:r>
    </w:p>
    <w:p w:rsidR="00F8002F" w:rsidRPr="00F8002F" w:rsidRDefault="00537334" w:rsidP="0047118C">
      <w:pPr>
        <w:widowControl w:val="0"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FC50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наименование главного администратора</w:t>
      </w:r>
      <w:r w:rsidR="00F951B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(администратора)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бюджетных средств, в отношении деятельности которого был проведен Анализ;</w:t>
      </w:r>
    </w:p>
    <w:p w:rsidR="00F8002F" w:rsidRPr="00F8002F" w:rsidRDefault="004C398A" w:rsidP="0047118C">
      <w:pPr>
        <w:widowControl w:val="0"/>
        <w:spacing w:after="0" w:line="322" w:lineRule="exact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FC50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 администратором</w:t>
      </w:r>
      <w:r w:rsidR="00FC50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(администратором)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бюджетных средств (при наличии);</w:t>
      </w:r>
    </w:p>
    <w:p w:rsidR="00F8002F" w:rsidRPr="00F8002F" w:rsidRDefault="004C398A" w:rsidP="0047118C">
      <w:pPr>
        <w:widowControl w:val="0"/>
        <w:spacing w:after="0" w:line="322" w:lineRule="exact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FC509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информацию о выявленных недостатках осуществления главным администратором</w:t>
      </w:r>
      <w:r w:rsidR="00671F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(администратором)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бюджетных средств внутреннего финансового контроля и внутреннего финансового аудита (при наличии);</w:t>
      </w:r>
    </w:p>
    <w:p w:rsidR="00F8002F" w:rsidRPr="00F8002F" w:rsidRDefault="004C398A" w:rsidP="0047118C">
      <w:pPr>
        <w:widowControl w:val="0"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671F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информацию об исполнении предложений и рекомендаций, данных главному администратору</w:t>
      </w:r>
      <w:r w:rsidR="00671F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(администратору)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бюджетных средств по итогам предыдущего Анализа (при наличии);</w:t>
      </w:r>
    </w:p>
    <w:p w:rsidR="00F8002F" w:rsidRPr="00F8002F" w:rsidRDefault="004C398A" w:rsidP="0047118C">
      <w:pPr>
        <w:widowControl w:val="0"/>
        <w:tabs>
          <w:tab w:val="left" w:pos="9355"/>
        </w:tabs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671F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рекомендации по организации главным администратором</w:t>
      </w:r>
      <w:r w:rsidR="00671F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(администратором)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бюджетных средств внутреннего финансового контроля и внутреннего финансового аудита (при необходимости);</w:t>
      </w:r>
    </w:p>
    <w:p w:rsidR="00F8002F" w:rsidRPr="00F8002F" w:rsidRDefault="002F25CD" w:rsidP="0047118C">
      <w:pPr>
        <w:widowControl w:val="0"/>
        <w:spacing w:after="0" w:line="322" w:lineRule="exact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671F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дату подписания заключения, которая должна быть не позже последнего дня срока проведения анализа.</w:t>
      </w:r>
    </w:p>
    <w:p w:rsidR="00F8002F" w:rsidRPr="00F8002F" w:rsidRDefault="002F25CD" w:rsidP="0047118C">
      <w:pPr>
        <w:widowControl w:val="0"/>
        <w:spacing w:after="304" w:line="322" w:lineRule="exact"/>
        <w:ind w:right="-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732FF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5.3.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Заключение составляется в двух экземплярах, один из которых хранится в </w:t>
      </w:r>
      <w:r w:rsidR="00CC7945" w:rsidRPr="00CC794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орган</w:t>
      </w:r>
      <w:r w:rsidR="00CC794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</w:t>
      </w:r>
      <w:r w:rsidR="00CC7945" w:rsidRPr="00CC794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внутреннего муниципального финансового контроля муниципального образования «</w:t>
      </w:r>
      <w:proofErr w:type="spellStart"/>
      <w:r w:rsidR="00CC7945" w:rsidRPr="00CC794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Велижский</w:t>
      </w:r>
      <w:proofErr w:type="spellEnd"/>
      <w:r w:rsidR="00CC7945" w:rsidRPr="00CC794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CC7945" w:rsidRPr="00CC794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район</w:t>
      </w:r>
      <w:proofErr w:type="gramStart"/>
      <w:r w:rsidR="00CC7945" w:rsidRPr="00CC7945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»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</w:t>
      </w:r>
      <w:proofErr w:type="spellEnd"/>
      <w:proofErr w:type="gramEnd"/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второй направляется в адрес главного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lastRenderedPageBreak/>
        <w:t>администратора</w:t>
      </w:r>
      <w:r w:rsidR="00CA58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(администратора)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бюджетных средств в течение 3 рабочих дней со дня его подписания.</w:t>
      </w:r>
    </w:p>
    <w:p w:rsidR="00F8002F" w:rsidRPr="00F8002F" w:rsidRDefault="004304ED" w:rsidP="005034A3">
      <w:pPr>
        <w:widowControl w:val="0"/>
        <w:tabs>
          <w:tab w:val="left" w:pos="0"/>
        </w:tabs>
        <w:spacing w:after="293" w:line="317" w:lineRule="exact"/>
        <w:ind w:right="-1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VI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Составл</w:t>
      </w:r>
      <w:r w:rsidR="005034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ение и представление отчетности </w:t>
      </w:r>
      <w:r w:rsidR="00F8002F" w:rsidRPr="00F8002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 результатам Анализа</w:t>
      </w:r>
    </w:p>
    <w:p w:rsidR="00581473" w:rsidRPr="00581473" w:rsidRDefault="00581473" w:rsidP="00446A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DB20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04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 контроля</w:t>
      </w:r>
      <w:r w:rsidRPr="0058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на основании заключений составляет </w:t>
      </w:r>
      <w:r w:rsidR="007966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58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осуществления главными администраторами</w:t>
      </w:r>
      <w:r w:rsidR="006F2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(администраторами</w:t>
      </w:r>
      <w:r w:rsidR="00604F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8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местного бюджета внутреннего финансового контроля и внутреннего финансового аудита.</w:t>
      </w:r>
    </w:p>
    <w:p w:rsidR="00581473" w:rsidRPr="00581473" w:rsidRDefault="00581473" w:rsidP="00446A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</w:t>
      </w:r>
      <w:r w:rsidR="007966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отчете</w:t>
      </w:r>
      <w:r w:rsidRPr="0058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следующие сведения:</w:t>
      </w:r>
    </w:p>
    <w:p w:rsidR="00581473" w:rsidRPr="00581473" w:rsidRDefault="00581473" w:rsidP="00446A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общие сведения об организации проведения Анализа;</w:t>
      </w:r>
    </w:p>
    <w:p w:rsidR="00581473" w:rsidRPr="00581473" w:rsidRDefault="00581473" w:rsidP="00446A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непредставлении, несвоевременном представлении, либо представлении в неполном объеме или искаженном виде документов и (или) информации главными администраторами</w:t>
      </w:r>
      <w:r w:rsidR="00F4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(администраторами)</w:t>
      </w:r>
      <w:r w:rsidRPr="0058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местного бюджета (при наличии);</w:t>
      </w:r>
    </w:p>
    <w:p w:rsidR="00581473" w:rsidRPr="00581473" w:rsidRDefault="00581473" w:rsidP="00446A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оценки осуществления главными администраторами</w:t>
      </w:r>
      <w:r w:rsidR="00F41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(администраторами)</w:t>
      </w:r>
      <w:r w:rsidRPr="0058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местного бюджета внутреннего финансового контроля и внутреннего финансового аудита по форме согласно приложению N 2 к настоящему Порядку;</w:t>
      </w:r>
    </w:p>
    <w:p w:rsidR="00581473" w:rsidRPr="00581473" w:rsidRDefault="00581473" w:rsidP="00446A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7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сводный рейтинг главных администраторов</w:t>
      </w:r>
      <w:r w:rsidR="00B8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(администраторов)</w:t>
      </w:r>
      <w:r w:rsidRPr="0058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местного бюджета по организации и осуществлению внутреннего финансового контроля и внутреннего финансового аудита (перечень главных администраторов</w:t>
      </w:r>
      <w:r w:rsidR="00B8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(администраторов)</w:t>
      </w:r>
      <w:r w:rsidRPr="0058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местного бюджета, сформированный в порядке убывания значения итоговой оценки);</w:t>
      </w:r>
    </w:p>
    <w:p w:rsidR="00581473" w:rsidRPr="00581473" w:rsidRDefault="00581473" w:rsidP="00446A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обобщенную информацию о наиболее характерных недостатках, выявленных по результатам проведенного Анализа;</w:t>
      </w:r>
    </w:p>
    <w:p w:rsidR="00581473" w:rsidRPr="00581473" w:rsidRDefault="00581473" w:rsidP="00446A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обобщенную информацию о рекомендациях, данных главным администраторам</w:t>
      </w:r>
      <w:r w:rsidR="00B8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(администраторам)</w:t>
      </w:r>
      <w:r w:rsidRPr="0058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местного бюджета по результатам проведенного Анализа;</w:t>
      </w:r>
    </w:p>
    <w:p w:rsidR="00581473" w:rsidRPr="00581473" w:rsidRDefault="00581473" w:rsidP="00446A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исполнении предложений и рекомендаций по совершенствованию внутреннего финансового контроля и внутреннего финансового аудита, направленных главным администраторам</w:t>
      </w:r>
      <w:r w:rsidR="00B83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(администраторам)</w:t>
      </w:r>
      <w:r w:rsidRPr="0058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местного бюджета по итогам проведения предыдущего Анализа (при наличии);</w:t>
      </w:r>
    </w:p>
    <w:p w:rsidR="00581473" w:rsidRPr="00581473" w:rsidRDefault="00581473" w:rsidP="00446A33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совершенствованию организации и осуществления внутреннего финансового контроля и внутреннего финансового аудита.</w:t>
      </w:r>
    </w:p>
    <w:p w:rsidR="00581473" w:rsidRPr="00581473" w:rsidRDefault="00581473" w:rsidP="00077C7A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9B65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 w:rsidRPr="0058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на официальном </w:t>
      </w:r>
      <w:r w:rsidR="00077C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сайте муниципального образования «</w:t>
      </w:r>
      <w:proofErr w:type="spellStart"/>
      <w:r w:rsidR="00077C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07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</w:t>
      </w:r>
      <w:r w:rsidR="00077C7A" w:rsidRPr="00077C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</w:t>
      </w:r>
      <w:r w:rsidR="0007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C7A" w:rsidRPr="00077C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сети "Интернет".</w:t>
      </w:r>
    </w:p>
    <w:p w:rsidR="00581473" w:rsidRPr="00581473" w:rsidRDefault="00581473" w:rsidP="005814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C7A" w:rsidRDefault="00077C7A" w:rsidP="0058147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C7A" w:rsidRDefault="00077C7A" w:rsidP="0058147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C7A" w:rsidRDefault="00077C7A" w:rsidP="0058147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C7A" w:rsidRDefault="00077C7A" w:rsidP="0058147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7C7A" w:rsidRDefault="00077C7A" w:rsidP="0058147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5158" w:rsidRDefault="00295158" w:rsidP="0058147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966DA8" w:rsidTr="00966DA8">
        <w:tc>
          <w:tcPr>
            <w:tcW w:w="5154" w:type="dxa"/>
          </w:tcPr>
          <w:p w:rsidR="00966DA8" w:rsidRDefault="00966DA8" w:rsidP="00581473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4" w:type="dxa"/>
          </w:tcPr>
          <w:p w:rsidR="00966DA8" w:rsidRDefault="00966DA8" w:rsidP="00966DA8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6DA8" w:rsidRPr="00581473" w:rsidRDefault="00966DA8" w:rsidP="00966DA8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N 1</w:t>
            </w:r>
          </w:p>
          <w:p w:rsidR="00966DA8" w:rsidRPr="00581473" w:rsidRDefault="00966DA8" w:rsidP="00966DA8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</w:t>
            </w:r>
            <w:r w:rsidRPr="0096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анализа осуществления главными администраторами (администраторами) средств бюджетов муниципальных образований «</w:t>
            </w:r>
            <w:proofErr w:type="spellStart"/>
            <w:r w:rsidRPr="0096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96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и  </w:t>
            </w:r>
            <w:proofErr w:type="spellStart"/>
            <w:r w:rsidRPr="0096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Велижское</w:t>
            </w:r>
            <w:proofErr w:type="spellEnd"/>
            <w:r w:rsidRPr="0096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 внутреннего финансового контроля и внутреннего финансового аудита</w:t>
            </w:r>
          </w:p>
          <w:p w:rsidR="00966DA8" w:rsidRDefault="00966DA8" w:rsidP="00581473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DA8" w:rsidRDefault="00966DA8" w:rsidP="0058147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6DA8" w:rsidRDefault="00966DA8" w:rsidP="0058147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1473" w:rsidRPr="00581473" w:rsidRDefault="00581473" w:rsidP="005814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1473" w:rsidRPr="00581473" w:rsidRDefault="00581473" w:rsidP="005814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710"/>
      <w:r w:rsidRPr="00581473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КРИТЕРИИ</w:t>
      </w:r>
    </w:p>
    <w:p w:rsidR="00581473" w:rsidRPr="00581473" w:rsidRDefault="00581473" w:rsidP="005814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47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 осуществления главными администраторами</w:t>
      </w:r>
      <w:r w:rsidR="007A0A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(администраторами) </w:t>
      </w:r>
    </w:p>
    <w:p w:rsidR="00581473" w:rsidRPr="00581473" w:rsidRDefault="00581473" w:rsidP="005814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473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бюджетных средств внутреннего финансового контроля</w:t>
      </w:r>
    </w:p>
    <w:p w:rsidR="00581473" w:rsidRPr="00581473" w:rsidRDefault="00581473" w:rsidP="0058147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473">
        <w:rPr>
          <w:rFonts w:ascii="Times New Roman" w:eastAsia="Times New Roman" w:hAnsi="Times New Roman" w:cs="Times New Roman"/>
          <w:sz w:val="26"/>
          <w:szCs w:val="26"/>
          <w:lang w:eastAsia="ru-RU"/>
        </w:rPr>
        <w:t>и внутреннего финансового аудита</w:t>
      </w:r>
    </w:p>
    <w:bookmarkEnd w:id="1"/>
    <w:p w:rsidR="00581473" w:rsidRPr="00581473" w:rsidRDefault="00581473" w:rsidP="00581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2410"/>
        <w:gridCol w:w="794"/>
        <w:gridCol w:w="794"/>
        <w:gridCol w:w="2523"/>
      </w:tblGrid>
      <w:tr w:rsidR="00581473" w:rsidRPr="00581473" w:rsidTr="00FD47AF">
        <w:tc>
          <w:tcPr>
            <w:tcW w:w="567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977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Вопросы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Критерии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 xml:space="preserve">Баллы </w:t>
            </w:r>
            <w:hyperlink w:anchor="P704" w:history="1">
              <w:r w:rsidRPr="0058147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 xml:space="preserve">Отметка </w:t>
            </w:r>
            <w:hyperlink w:anchor="P708" w:history="1">
              <w:r w:rsidRPr="0058147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523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Источники информации для расчета показателей</w:t>
            </w:r>
          </w:p>
        </w:tc>
      </w:tr>
      <w:tr w:rsidR="00581473" w:rsidRPr="00581473" w:rsidTr="00FD47AF">
        <w:tc>
          <w:tcPr>
            <w:tcW w:w="567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498" w:type="dxa"/>
            <w:gridSpan w:val="5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Качество нормативно-правового обеспечения осуществления внутреннего финансового контроля и внутреннего финансового аудита</w:t>
            </w:r>
          </w:p>
        </w:tc>
      </w:tr>
      <w:tr w:rsidR="00581473" w:rsidRPr="00581473" w:rsidTr="00FD47AF">
        <w:tc>
          <w:tcPr>
            <w:tcW w:w="56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97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Утвержден ли главным администратором (администратором) бюджетных сре</w:t>
            </w:r>
            <w:proofErr w:type="gramStart"/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авовой акт, устанавливающий в отношении карт внутреннего финансового контроля следующие требования: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1) порядок формирования;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2) порядок актуализации;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3) порядок утверждения?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акт главного администратора (администратора) бюджетных средств, устанавливающий порядок формирования, утверждения, актуализации карт внутреннего финансового контроля</w:t>
            </w: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акт не утвержден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97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Утвержден ли главным администратором (администратором) бюджетных средств: правовой акт, устанавливающий в отношении регистров (журналов) внутреннего финансового контроля следующие требования: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1) порядок учета;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2) порядок хранения;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3) порядок хранения с применением автоматизированных информационных систем?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акт главного администратора (администратора) бюджетных средств, устанавливающий порядок учета и хранения регистров (журналов) внутреннего финансового контроля</w:t>
            </w: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акт не утвержден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97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Установлен ли руководителем главного администратора (администратора) бюджетных средств порядок формирования и направления информации о результатах внутреннего финансового контроля?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акт главного администратора (администратора) бюджетных средств, устанавливающий периодичность представления информации о результатах внутреннего финансового контроля</w:t>
            </w: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 xml:space="preserve">Не </w:t>
            </w:r>
            <w:proofErr w:type="gramStart"/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установлен</w:t>
            </w:r>
            <w:proofErr w:type="gramEnd"/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97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Определены ли положением (должностными регламентами) главного администратора (администратора) бюджетных средств полномочия подразделения </w:t>
            </w:r>
            <w:r w:rsidRPr="005814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(должностных лиц) на осуществление внутреннего финансового аудита?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14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Определены</w:t>
            </w:r>
            <w:proofErr w:type="gramEnd"/>
            <w:r w:rsidRPr="00581473">
              <w:rPr>
                <w:rFonts w:ascii="Times New Roman" w:hAnsi="Times New Roman" w:cs="Times New Roman"/>
                <w:sz w:val="18"/>
                <w:szCs w:val="18"/>
              </w:rPr>
              <w:t xml:space="preserve"> для всех уполномоченных должностных лиц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(должностные регламенты) подразделений (должностных лиц) главного администратора (администратора) бюджетных </w:t>
            </w:r>
            <w:r w:rsidRPr="005814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средств, уполномоченных на осуществление внутреннего финансового аудита</w:t>
            </w: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Определены</w:t>
            </w:r>
            <w:proofErr w:type="gramEnd"/>
            <w:r w:rsidRPr="00581473">
              <w:rPr>
                <w:rFonts w:ascii="Times New Roman" w:hAnsi="Times New Roman" w:cs="Times New Roman"/>
                <w:sz w:val="18"/>
                <w:szCs w:val="18"/>
              </w:rPr>
              <w:t xml:space="preserve"> не для всех </w:t>
            </w:r>
            <w:r w:rsidRPr="005814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уполномоченных должностных лиц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Не определены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1.5.</w:t>
            </w:r>
          </w:p>
        </w:tc>
        <w:tc>
          <w:tcPr>
            <w:tcW w:w="297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Утвержден ли главным администратором (администратором) бюджетных сре</w:t>
            </w:r>
            <w:proofErr w:type="gramStart"/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авовой акт, устанавливающий в отношении плана аудиторских проверок следующие требования: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1) порядок составления;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2) порядок утверждения;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3) порядок ведения?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акт главного администратора (администратора) бюджетных средств, устанавливающий порядок составления, утверждения и ведения плана аудиторских проверок</w:t>
            </w: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акт не утвержден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</w:p>
        </w:tc>
        <w:tc>
          <w:tcPr>
            <w:tcW w:w="297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Утвержден ли главным администратором (администратором) бюджетных сре</w:t>
            </w:r>
            <w:proofErr w:type="gramStart"/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авовой акт, устанавливающий в отношении аудиторских проверок следующие требования: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1) предельные сроки проведения аудиторских проверок;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2) основания для их приостановления;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3) основания для их продления?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акт главного администратора (администратора) бюджетных средств, устанавливающий предельные сроки проведения аудиторских проверок, основания для их приостановления и продления</w:t>
            </w: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одно из требований настоящего пункта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акт не утвержден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1.7.</w:t>
            </w:r>
          </w:p>
        </w:tc>
        <w:tc>
          <w:tcPr>
            <w:tcW w:w="297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Утвержден ли главным администратором (администратором) бюджетных сре</w:t>
            </w:r>
            <w:proofErr w:type="gramStart"/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авовой акт, устанавливающий в отношении акта аудиторской проверки следующие требования: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1) формирование акта аудиторской проверки;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2) порядок направления акта;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3) сроки его рассмотрения?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акт главного администратора (администратора) бюджетных средств, устанавливающий форму акта аудиторской проверки, порядок направления акта, сроки его рассмотрения</w:t>
            </w: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два требования настоящего пункта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одно из требований настоящего пункта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акт не утвержден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297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 ли главным администратором (администратором) бюджетных средств правовой акт, устанавливающий в отношении годовой отчетности о результатах осуществления внутреннего финансового </w:t>
            </w:r>
            <w:proofErr w:type="gramStart"/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аудита</w:t>
            </w:r>
            <w:proofErr w:type="gramEnd"/>
            <w:r w:rsidRPr="00581473">
              <w:rPr>
                <w:rFonts w:ascii="Times New Roman" w:hAnsi="Times New Roman" w:cs="Times New Roman"/>
                <w:sz w:val="18"/>
                <w:szCs w:val="18"/>
              </w:rPr>
              <w:t xml:space="preserve"> следующие требования: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1) порядок составления;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2) порядок представления?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все требования настоящего пункта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акт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</w:t>
            </w: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акт утвержден и содержит одно требование настоящего пункта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акт не утвержден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498" w:type="dxa"/>
            <w:gridSpan w:val="5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Качество подготовки к проведению внутреннего финансового контроля и внутреннего финансового аудита</w:t>
            </w:r>
          </w:p>
        </w:tc>
      </w:tr>
      <w:tr w:rsidR="00581473" w:rsidRPr="00581473" w:rsidTr="00FD47AF">
        <w:tc>
          <w:tcPr>
            <w:tcW w:w="56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97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Сформированы ли Перечни операций подразделениями, ответственными за результаты выполнения внутренних бюджетных процедур?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Сформированы</w:t>
            </w:r>
            <w:proofErr w:type="gramEnd"/>
            <w:r w:rsidRPr="00581473">
              <w:rPr>
                <w:rFonts w:ascii="Times New Roman" w:hAnsi="Times New Roman" w:cs="Times New Roman"/>
                <w:sz w:val="18"/>
                <w:szCs w:val="18"/>
              </w:rPr>
              <w:t xml:space="preserve"> всеми подразделениями в полном объеме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 xml:space="preserve">Перечни операций подразделений главного администратора (администратора) бюджетных средств, ответственных за результаты выполнения </w:t>
            </w:r>
            <w:r w:rsidRPr="005814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внутренних бюджетных процедур;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Положения о структурных подразделениях главного администратора (администратора) бюджетных средств, ответственных за результаты выполнения внутренних бюджетных процедур</w:t>
            </w: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Сформированы</w:t>
            </w:r>
            <w:proofErr w:type="gramEnd"/>
            <w:r w:rsidRPr="00581473">
              <w:rPr>
                <w:rFonts w:ascii="Times New Roman" w:hAnsi="Times New Roman" w:cs="Times New Roman"/>
                <w:sz w:val="18"/>
                <w:szCs w:val="18"/>
              </w:rPr>
              <w:t xml:space="preserve"> всеми подразделениями, но не в </w:t>
            </w:r>
            <w:r w:rsidRPr="005814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полном объеме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Сформированы</w:t>
            </w:r>
            <w:proofErr w:type="gramEnd"/>
            <w:r w:rsidRPr="00581473">
              <w:rPr>
                <w:rFonts w:ascii="Times New Roman" w:hAnsi="Times New Roman" w:cs="Times New Roman"/>
                <w:sz w:val="18"/>
                <w:szCs w:val="18"/>
              </w:rPr>
              <w:t xml:space="preserve"> не всеми подразделениями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Не сформированы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297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Оцениваются ли бюджетные риски при принятии решения о включении операции из Перечня операций в карту внутреннего финансового контроля?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Оцениваются всеми подразделениями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Перечни операций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Оцениваются не всеми подразделениями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Не оцениваются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97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Имеются ли случаи нарушения подразделениями, ответственными за результаты выполнения внутренних бюджетных процедур, требований в отношении порядка актуализации карт внутреннего финансового контроля: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1) актуализация проведена не реже одного раза в год;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2) актуализация проведена при принятии решения руководителем (заместителем руководителя) главного администратора (администратора) бюджетных средств о внесении изменений в карты внутреннего финансового контроля;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3) актуализация проведена в случае внесения изменений в нормативные правовые акты, влекущие изменение внутренних бюджетных процедур?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Нарушения отсутствуют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Правовые документы главного администратора (администратора) бюджетных средств, утверждающие карты внутреннего финансового контроля</w:t>
            </w: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Имеется единичный случай нарушения порядка актуализации карт внутреннего финансового контроля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Имеются более одного случая нарушения порядка актуализации карт внутреннего финансового контроля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297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Утверждены ли карты внутреннего финансового контроля всех подразделении, ответственных за результаты выполнения внутренних бюджетных процедур, руководителем (заместителем руководителя) главного администратора (администратора) бюджетных средств?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Утверждены карты всех ответственных подразделений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Правовые документы главного администратора (администратора) бюджетных средств, утверждающие карты внутреннего финансового контроля подразделений, ответственных за результаты выполнения внутренних бюджетных процедур;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Утверждены карты 50 процентов и более ответственных подразделений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Утверждены карты менее 50 процентов ответственных подразделений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Не утверждены карты всех ответственных подразделений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297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 xml:space="preserve">Указываются ли в картах </w:t>
            </w:r>
            <w:r w:rsidRPr="005814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внутреннего финансового контроля по каждому отражаемому в нем предмету внутреннего финансового контроля следующие данные: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1) должностное лицо, ответственное за выполнение операции;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2) периодичность выполнения операции;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3) должностные лица, осуществляющие контрольные действия;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4) методы и способы контроля;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5) периодичность контрольных действий?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Требования настоящего </w:t>
            </w:r>
            <w:r w:rsidRPr="005814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пункта выполнены всеми ответственными подразделениями в полном объеме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 xml:space="preserve">Карты внутреннего </w:t>
            </w:r>
            <w:r w:rsidRPr="005814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</w:t>
            </w: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выполнены всеми ответственными подразделениями не в полном объеме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выполнены не всеми ответственными подразделениями и не в полном объеме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не выполнены всеми ответственными подразделениями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297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Утвержден ли руководителем главного администратора (администратора) бюджетных средств годовой план внутреннего финансового аудита?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Утвержден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документ главного администратора (администратора) бюджетных средств, утверждающий годовой план внутреннего финансового аудита</w:t>
            </w: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Не утвержден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2.7.</w:t>
            </w:r>
          </w:p>
        </w:tc>
        <w:tc>
          <w:tcPr>
            <w:tcW w:w="297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Указаны ли в годовом плане внутреннего финансового аудита по каждой аудиторской проверке следующие данные: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1) тема аудиторской проверки;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2) объекты аудита;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3) срок проведения аудиторской проверки;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4) ответственные исполнители?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Указаны все требования настоящего пункта в полном объеме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Годовой план внутреннего финансового аудита</w:t>
            </w: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Указаны три требования настоящего пункта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Указаны два и менее требования настоящего пункта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Указано одно из требований настоящего пункта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297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Утвержден ли план аудиторских проверок до начала очередного финансового года?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документ главного администратора (администратора) бюджетных средств, утверждающий план внутреннего финансового аудита</w:t>
            </w: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2.9.</w:t>
            </w:r>
          </w:p>
        </w:tc>
        <w:tc>
          <w:tcPr>
            <w:tcW w:w="297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Выполнены ли следующие действия в рамках подготовки к проведению аудиторской проверки: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1) утверждение программы аудиторской проверки;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2) формирование аудиторской группы?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Выполнены действия настоящего пункта в полном объеме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Утвержденная руководителем субъекта внутреннего финансового аудита программа аудиторской проверки;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документ субъекта внутреннего финансового аудита, устанавливающий формирование аудиторской группы</w:t>
            </w: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Выполнено одно действие настоящего пункта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не выполнены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2.10.</w:t>
            </w:r>
          </w:p>
        </w:tc>
        <w:tc>
          <w:tcPr>
            <w:tcW w:w="297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 xml:space="preserve">Содержат ли программы аудиторских </w:t>
            </w:r>
            <w:proofErr w:type="gramStart"/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проверок</w:t>
            </w:r>
            <w:proofErr w:type="gramEnd"/>
            <w:r w:rsidRPr="00581473">
              <w:rPr>
                <w:rFonts w:ascii="Times New Roman" w:hAnsi="Times New Roman" w:cs="Times New Roman"/>
                <w:sz w:val="18"/>
                <w:szCs w:val="18"/>
              </w:rPr>
              <w:t xml:space="preserve"> следующие данные: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1) тема аудиторской проверки;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2) наименование объектов аудиторской проверки;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3) перечень вопросов, подлежащих изучению в ходе аудиторской проверки;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4) сроки проведения аудиторской проверки?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 программы содержат данные настоящего пункта в полном объеме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Программы аудиторских проверок, утвержденные руководителем объекта внутреннего финансового аудита</w:t>
            </w: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 xml:space="preserve">Большая часть программ содержит данные настоящего </w:t>
            </w:r>
            <w:r w:rsidRPr="005814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пункта в полном объеме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Программы аудиторских проверок содержат не все данные настоящего пункта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не выполнены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498" w:type="dxa"/>
            <w:gridSpan w:val="5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Качество организации и осуществления внутреннего финансового контроля и внутреннего финансового аудита</w:t>
            </w:r>
          </w:p>
        </w:tc>
      </w:tr>
      <w:tr w:rsidR="00581473" w:rsidRPr="00581473" w:rsidTr="00FD47AF">
        <w:tc>
          <w:tcPr>
            <w:tcW w:w="56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97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Осуществляется ли внутренний финансовый контроль в отношении установленных Порядком внутренних бюджетных процедур, входящих в полномочия главного администратора (администратора) бюджетных средств?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Осуществляется в отношении более 90% существующих внутренних бюджетных процедур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Положения о структурных подразделениях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Осуществляется в отношении 71% - 90% существующих внутренних бюджетных процедур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Осуществляется в отношении 45% - 70% существующих внутренних бюджетных процедур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Осуществляется в отношении 15% - 45% существующих внутренних бюджетных процедур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Осуществляется в отношении менее 15% существующих внутренних бюджетных процедур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97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Имеются ли при осуществлении внутреннего финансового контроля случаи несоблюдения следующих требований, указанных в картах внутреннего финансового контроля: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1) периодичности,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2) методов контроля,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3) способов контроля?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Несоблюдение требований отсутствует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Карты внутреннего финансового контроля подразделений главного администратора (администратора) бюджетных средств, ответственных за результаты выполнения внутренних бюджетных процедур;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Отчеты о результатах внутреннего финансового контроля</w:t>
            </w: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Имеется единичный случай несоблюдения требований настоящего пункта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Имеется не более трех случаев</w:t>
            </w:r>
            <w:proofErr w:type="gramEnd"/>
            <w:r w:rsidRPr="00581473">
              <w:rPr>
                <w:rFonts w:ascii="Times New Roman" w:hAnsi="Times New Roman" w:cs="Times New Roman"/>
                <w:sz w:val="18"/>
                <w:szCs w:val="18"/>
              </w:rPr>
              <w:t xml:space="preserve"> несоблюдения требований настоящего пункта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Имеются множественные случаи несоблюдения требований настоящего пункта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297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Выполнены ли следующие требования к ведению регистров (журналов) внутреннего финансового контроля: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1) регистры (журналы) внутреннего финансового контроля ведутся в каждом подразделении, ответственном за выполнение внутренних бюджетных процедур;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2) регистры содержат информацию о выявленных недостатках и (или) нарушениях при исполнении внутренних бюджетных процедур;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 xml:space="preserve">3) регистры содержат сведения о </w:t>
            </w:r>
            <w:r w:rsidRPr="005814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причинах рисков возникновения нарушений и (или) недостатков;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4) регистры содержат сведения о предполагаемых мерах по их устранению?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Выполнены все требования настоящего пункта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Регистры (журналы) внутреннего финансового контроля подразделений главного администратора (администратора) бюджетных средств, ответственных за выполнение внутренних бюджетных процедур</w:t>
            </w: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Выполнены три требования настоящего пункта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Выполнены два и менее требования настоящего пункта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не выполнены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3.4.</w:t>
            </w:r>
          </w:p>
        </w:tc>
        <w:tc>
          <w:tcPr>
            <w:tcW w:w="297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Осуществляется ли учет регистров (журналов) внутреннего финансового контроля в установленном главным администратором (администратором) бюджетных средств порядке?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Учет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документ главного администратора (администратора) бюджетных средств, устанавливающий порядок учета регистров (журналов) внутреннего финансового контроля;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Регистры (журналы) внутреннего финансового контроля</w:t>
            </w: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Учет осуществляется, имеется не более двух случаев нарушения порядка ведения учета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Учет осуществляется, имеются множественные случаи нарушения порядка ведения учета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Учет не осуществляется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297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Осуществляется ли хранение регистров (журналов) внутреннего финансового контроля в установленном главным администратором (администратором) бюджетных средств порядке?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Хранение осуществляется согласно установленному порядку всеми подразделениями, ответственными за выполнение внутренних бюджетных процедур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документ главного администратора (администратора) бюджетных средств, устанавливающий порядок хранения регистров (журналов) внутреннего финансового контроля;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Перечни документов с указанием сроков хранения</w:t>
            </w: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Хранение осуществляется, имеется не более двух случаев нарушения порядка хранения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Хранение осуществляется, имеются множественные случаи нарушения порядка хранения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Хранение не осуществляется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3.6.</w:t>
            </w:r>
          </w:p>
        </w:tc>
        <w:tc>
          <w:tcPr>
            <w:tcW w:w="297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Приняты ли по итогам рассмотрения результатов внутреннего финансового контроля решения с указанием сроков их выполнения?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Приняты соответствующие решения с указанием сроков выполнения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документ главного администратора (администратора) бюджетных средств, содержащий решения, принятые по итогам рассмотрения результатов внутреннего финансового контроля;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Отчеты о результатах внутреннего финансового контроля</w:t>
            </w: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Приняты соответствующие решения без указания сроков выполнения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Решения не приняты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3.7.</w:t>
            </w:r>
          </w:p>
        </w:tc>
        <w:tc>
          <w:tcPr>
            <w:tcW w:w="297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Учтена ли при принятии решений по итогам рассмотрения результатов внутреннего финансового контроля следующая информация: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1) информация, указанная в актах, заключениях, представлениях и предписаниях органов муниципального финансового контроля;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2) информация, указанная в отчетах внутреннего финансового аудита?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Учтена указанная информация в полном объеме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документ главного администратора (администратора) бюджетных средств, содержащий решения, принятые по итогам рассмотрения результатов внутреннего финансового контроля;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 xml:space="preserve">Акты, заключения, </w:t>
            </w:r>
            <w:r w:rsidRPr="005814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представления и предписания органов муниципального финансового контроля;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Отчеты внутреннего финансового аудита</w:t>
            </w: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Учтена указанная информация не в полном объеме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 xml:space="preserve">Указанная информация не </w:t>
            </w:r>
            <w:r w:rsidRPr="005814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учтена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3.8.</w:t>
            </w:r>
          </w:p>
        </w:tc>
        <w:tc>
          <w:tcPr>
            <w:tcW w:w="297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Имеются ли случаи необеспечения функциональной независимости при осуществлении внутреннего финансового аудита структурных подразделений и (или) уполномоченных должностных лиц, работников главного администратора (администратора) бюджетных средств, наделенных полномочиями по осуществлению внутреннего финансового аудита?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Функциональная независимость обеспечена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акт главного администратора (администратора) бюджетных средств, утверждающий структуру главного администратора (администратора) бюджетных средств;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документ объекта внутреннего финансового аудита, устанавливающий формирование аудиторской группы</w:t>
            </w: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Имеются случаи необеспечения функциональной независимости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3.9.</w:t>
            </w:r>
          </w:p>
        </w:tc>
        <w:tc>
          <w:tcPr>
            <w:tcW w:w="297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Имеются ли при осуществлении плановых аудиторских проверок случаи отклонения от годового плана внутреннего финансового аудита, утвержденного руководителем главного администратора (администратора) бюджетных средств?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Случаи отклонения от плана отсутствуют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Утвержденный руководителем главного администратора (администратора) бюджетных средств годовой план внутреннего финансового аудита;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Сведения о результатах аудиторских проверок</w:t>
            </w: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Имеется единичный случай отклонения от плана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Имеется более одного случая отклонения от плана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3.10.</w:t>
            </w:r>
          </w:p>
        </w:tc>
        <w:tc>
          <w:tcPr>
            <w:tcW w:w="297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Имеются ли случаи осуществления аудиторских проверок, не назначенных решением руководителя главного администратора (администратора) бюджетных средств?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Случаи осуществления аудиторских проверок, не назначенных решением руководителя, отсутствуют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документ, утвержденный руководителем главного администратора (администратора) бюджетных средств, назначающий осуществление аудиторских проверок;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Сведения о результатах аудиторских проверок</w:t>
            </w: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Имеется единичный случай осуществления аудиторских проверок, не назначенных решением руководителя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Имеется более одного случая осуществления аудиторских проверок, не назначенных решением руководителя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3.11.</w:t>
            </w:r>
          </w:p>
        </w:tc>
        <w:tc>
          <w:tcPr>
            <w:tcW w:w="297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Имеются ли при осуществлен</w:t>
            </w:r>
            <w:proofErr w:type="gramStart"/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ии ау</w:t>
            </w:r>
            <w:proofErr w:type="gramEnd"/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диторских проверок случаи отклонения от программ аудиторских проверок, утвержденных руководителями объекта внутреннего финансового аудита?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Случаи отклонения от программ отсутствуют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Утвержденные программы аудиторских проверок;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Сведения о результатах аудиторских проверок</w:t>
            </w: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Имеется единичный случай отклонения от программ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Имеется более одного случая отклонения от программы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3.12.</w:t>
            </w:r>
          </w:p>
        </w:tc>
        <w:tc>
          <w:tcPr>
            <w:tcW w:w="297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Формируется ли рабочая документация, подготавливаемая в связи с проведением аудиторской проверки?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Формируется по всем аудиторским проверкам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Документы и иные материалы, подготавливаемые или получаемые в связи с проведением аудиторской проверки</w:t>
            </w: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Имеются случаи отсутствия рабочей документации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Не осуществляется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3.13.</w:t>
            </w:r>
          </w:p>
        </w:tc>
        <w:tc>
          <w:tcPr>
            <w:tcW w:w="297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 xml:space="preserve">Имеются ли случаи невручения результатов аудиторской проверки представителю объекта аудита, уполномоченному на получение </w:t>
            </w:r>
            <w:r w:rsidRPr="005814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акта?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Случаи невручения результатов отсутствуют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Акты аудиторских проверок</w:t>
            </w: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 xml:space="preserve">Имеется единичный случай </w:t>
            </w:r>
            <w:r w:rsidRPr="005814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невручения результатов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Имеются множественные случаи невручения результатов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3.14.</w:t>
            </w:r>
          </w:p>
        </w:tc>
        <w:tc>
          <w:tcPr>
            <w:tcW w:w="297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Содержат ли отчеты о результатах аудиторских проверок информацию: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1) о выявленных в ходе аудиторской проверки недостатках и нарушениях (в количественном и денежном выражении), об условиях и о причинах таких нарушений, о значимых бюджетных рисках;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2) о наличии или об отсутствии возражений со стороны объектов аудита?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Все отчеты содержат информацию, указанную в настоящем пункте в полном объеме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Отчеты о результатах аудиторских проверок</w:t>
            </w: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Большая часть отчетов содержит информацию, указанную в настоящем пункте в полном объеме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Большая часть отчетов содержит информацию 1) либо 2) настоящего пункта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не выполнены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3.15.</w:t>
            </w:r>
          </w:p>
        </w:tc>
        <w:tc>
          <w:tcPr>
            <w:tcW w:w="297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Содержат ли отчеты о результатах аудиторских проверок следующие выводы: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1) о степени надежности внутреннего финансового контроля;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2) о достоверности представленной объектами аудита бюджетной отчетности;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3)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Федерации, включая выводы о соблюдении порядка формирования (актуализации) учетной политики, оформления и принятия к учету первичных учетных документов, проведения инвентаризации активов и обязательств, хранения документов бюджетного учета, а также о соответствии состава бюджетной отчетности требованиям, установленным в нормативных правовых актах, регулирующих составление и</w:t>
            </w:r>
            <w:proofErr w:type="gramEnd"/>
            <w:r w:rsidRPr="00581473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бюджетной отчетности, ее составлении на основе данных, содержащихся в регистрах бюджетного учета), а также о соблюдении главным администратором бюджетных средств порядка формирования сводной бюджетной отчетности;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4) 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бюджетных средств?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Все отчеты содержат выводы настоящего пункта в полном объеме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Отчеты о результатах аудиторских проверок</w:t>
            </w: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Большая часть отчетов содержат выводы настоящего пункта в полном объеме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Большая часть отчетов содержит три вывода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Большая часть отчетов содержит два и менее выводов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Требования настоящего пункта не выполнены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3.16.</w:t>
            </w:r>
          </w:p>
        </w:tc>
        <w:tc>
          <w:tcPr>
            <w:tcW w:w="2977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Имеются ли случаи нарушения сроков представления объектом внутреннего финансового аудита годовой отчетности о результатах осуществления внутреннего финансового аудита?</w:t>
            </w: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Случаи нарушения сроков отсутствуют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 w:val="restart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Правовой документ главного администратора (администратора) бюджетных средств, устанавливающий порядок составления и представления годовой отчетности о результатах осуществления внутреннего финансового аудита;</w:t>
            </w:r>
          </w:p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Годовая отчетность о результатах осуществления внутреннего финансового аудита</w:t>
            </w: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Имеется единичный случай нарушения сроков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56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Имеются более одного случая нарушения сроков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47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4" w:type="dxa"/>
          </w:tcPr>
          <w:p w:rsidR="00581473" w:rsidRPr="00581473" w:rsidRDefault="00581473" w:rsidP="00581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81473" w:rsidRPr="00581473" w:rsidRDefault="00581473" w:rsidP="00581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473" w:rsidRPr="00581473" w:rsidRDefault="00581473" w:rsidP="00581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7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81473" w:rsidRPr="00581473" w:rsidRDefault="00581473" w:rsidP="00581473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04"/>
      <w:bookmarkEnd w:id="2"/>
      <w:r w:rsidRPr="00581473">
        <w:rPr>
          <w:rFonts w:ascii="Times New Roman" w:hAnsi="Times New Roman" w:cs="Times New Roman"/>
          <w:sz w:val="24"/>
          <w:szCs w:val="24"/>
        </w:rPr>
        <w:t>&lt;1&gt; Максимальное количество баллов - 100 баллов, из них:</w:t>
      </w:r>
    </w:p>
    <w:p w:rsidR="00581473" w:rsidRPr="00581473" w:rsidRDefault="00581473" w:rsidP="00581473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73">
        <w:rPr>
          <w:rFonts w:ascii="Times New Roman" w:hAnsi="Times New Roman" w:cs="Times New Roman"/>
          <w:sz w:val="24"/>
          <w:szCs w:val="24"/>
        </w:rPr>
        <w:t>- качество нормативно-правового обеспечения осуществления внутреннего финансового контроля и внутреннего финансового аудита - 23 балла;</w:t>
      </w:r>
    </w:p>
    <w:p w:rsidR="00581473" w:rsidRPr="00581473" w:rsidRDefault="00581473" w:rsidP="00581473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73">
        <w:rPr>
          <w:rFonts w:ascii="Times New Roman" w:hAnsi="Times New Roman" w:cs="Times New Roman"/>
          <w:sz w:val="24"/>
          <w:szCs w:val="24"/>
        </w:rPr>
        <w:t>- качество подготовки к проведению внутреннего финансового контроля и внутреннего финансового аудита - 30 баллов;</w:t>
      </w:r>
    </w:p>
    <w:p w:rsidR="00581473" w:rsidRPr="00581473" w:rsidRDefault="00581473" w:rsidP="00581473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473">
        <w:rPr>
          <w:rFonts w:ascii="Times New Roman" w:hAnsi="Times New Roman" w:cs="Times New Roman"/>
          <w:sz w:val="24"/>
          <w:szCs w:val="24"/>
        </w:rPr>
        <w:t>- качество организации и осуществления внутреннего финансового контроля и внутреннего финансового аудита - 47 баллов.</w:t>
      </w:r>
    </w:p>
    <w:p w:rsidR="00581473" w:rsidRPr="00581473" w:rsidRDefault="00581473" w:rsidP="00581473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08"/>
      <w:bookmarkEnd w:id="3"/>
      <w:r w:rsidRPr="00581473">
        <w:rPr>
          <w:rFonts w:ascii="Times New Roman" w:hAnsi="Times New Roman" w:cs="Times New Roman"/>
          <w:sz w:val="24"/>
          <w:szCs w:val="24"/>
        </w:rPr>
        <w:t>&lt;2&gt; Соответствующий ответ отмечается галочкой (V).</w:t>
      </w:r>
    </w:p>
    <w:p w:rsidR="00581473" w:rsidRPr="00581473" w:rsidRDefault="00581473" w:rsidP="005814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P709"/>
      <w:bookmarkEnd w:id="4"/>
    </w:p>
    <w:p w:rsidR="00581473" w:rsidRPr="00581473" w:rsidRDefault="00581473" w:rsidP="005814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1473" w:rsidRPr="00581473" w:rsidRDefault="00581473" w:rsidP="005814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1473" w:rsidRPr="00581473" w:rsidRDefault="00581473" w:rsidP="00581473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147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581473" w:rsidRPr="00581473" w:rsidRDefault="00581473" w:rsidP="005814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581473" w:rsidRPr="00581473" w:rsidSect="000860EB">
          <w:pgSz w:w="11906" w:h="16838"/>
          <w:pgMar w:top="1247" w:right="567" w:bottom="1247" w:left="124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55DD0" w:rsidTr="00855DD0">
        <w:tc>
          <w:tcPr>
            <w:tcW w:w="7393" w:type="dxa"/>
          </w:tcPr>
          <w:p w:rsidR="00855DD0" w:rsidRDefault="00855DD0" w:rsidP="00581473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3" w:type="dxa"/>
          </w:tcPr>
          <w:p w:rsidR="00855DD0" w:rsidRPr="00581473" w:rsidRDefault="00855DD0" w:rsidP="00855DD0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581473">
              <w:rPr>
                <w:rFonts w:ascii="Times New Roman" w:hAnsi="Times New Roman" w:cs="Times New Roman"/>
                <w:sz w:val="20"/>
                <w:szCs w:val="20"/>
              </w:rPr>
              <w:t>Приложение N 2</w:t>
            </w:r>
          </w:p>
          <w:p w:rsidR="00855DD0" w:rsidRPr="00581473" w:rsidRDefault="00855DD0" w:rsidP="00855DD0">
            <w:pPr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</w:t>
            </w:r>
            <w:r w:rsidRPr="0096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анализа осуществления главными администраторами (администраторами) средств бюджетов муниципальных образований «</w:t>
            </w:r>
            <w:proofErr w:type="spellStart"/>
            <w:r w:rsidRPr="0096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96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и  </w:t>
            </w:r>
            <w:proofErr w:type="spellStart"/>
            <w:r w:rsidRPr="0096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Велижское</w:t>
            </w:r>
            <w:proofErr w:type="spellEnd"/>
            <w:r w:rsidRPr="00966D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городское поселение внутреннего финансового контроля и внутреннего финансового аудита</w:t>
            </w:r>
          </w:p>
          <w:p w:rsidR="00855DD0" w:rsidRDefault="00855DD0" w:rsidP="00581473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5DD0" w:rsidRDefault="00855DD0" w:rsidP="0058147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81473" w:rsidRPr="00581473" w:rsidRDefault="00581473" w:rsidP="00855DD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5" w:name="P711"/>
      <w:r w:rsidRPr="00581473">
        <w:rPr>
          <w:rFonts w:ascii="Times New Roman" w:hAnsi="Times New Roman" w:cs="Times New Roman"/>
          <w:sz w:val="26"/>
          <w:szCs w:val="26"/>
        </w:rPr>
        <w:t>Результаты</w:t>
      </w:r>
    </w:p>
    <w:p w:rsidR="00581473" w:rsidRPr="00581473" w:rsidRDefault="00581473" w:rsidP="00581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1473">
        <w:rPr>
          <w:rFonts w:ascii="Times New Roman" w:hAnsi="Times New Roman" w:cs="Times New Roman"/>
          <w:sz w:val="26"/>
          <w:szCs w:val="26"/>
        </w:rPr>
        <w:t>оценки качества внутреннего финансового контроля</w:t>
      </w:r>
    </w:p>
    <w:p w:rsidR="00581473" w:rsidRPr="00581473" w:rsidRDefault="00581473" w:rsidP="00581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1473">
        <w:rPr>
          <w:rFonts w:ascii="Times New Roman" w:hAnsi="Times New Roman" w:cs="Times New Roman"/>
          <w:sz w:val="26"/>
          <w:szCs w:val="26"/>
        </w:rPr>
        <w:t>и внутреннего финансового аудита</w:t>
      </w:r>
      <w:bookmarkEnd w:id="5"/>
    </w:p>
    <w:p w:rsidR="00581473" w:rsidRPr="00581473" w:rsidRDefault="00581473" w:rsidP="00581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8147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81473">
        <w:rPr>
          <w:rFonts w:ascii="Times New Roman" w:hAnsi="Times New Roman" w:cs="Times New Roman"/>
          <w:sz w:val="26"/>
          <w:szCs w:val="26"/>
        </w:rPr>
        <w:t xml:space="preserve"> _____________ за ______ год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6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567"/>
        <w:gridCol w:w="567"/>
        <w:gridCol w:w="567"/>
        <w:gridCol w:w="567"/>
        <w:gridCol w:w="567"/>
        <w:gridCol w:w="567"/>
        <w:gridCol w:w="567"/>
        <w:gridCol w:w="992"/>
        <w:gridCol w:w="964"/>
        <w:gridCol w:w="879"/>
      </w:tblGrid>
      <w:tr w:rsidR="00581473" w:rsidRPr="00581473" w:rsidTr="00FD47AF">
        <w:tc>
          <w:tcPr>
            <w:tcW w:w="993" w:type="dxa"/>
            <w:vMerge w:val="restart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главного администратора бюджетных средств по БК</w:t>
            </w:r>
          </w:p>
        </w:tc>
        <w:tc>
          <w:tcPr>
            <w:tcW w:w="11765" w:type="dxa"/>
            <w:gridSpan w:val="34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Номера вопросов из Перечня вопросов для анализа осуществления главными администраторами (администраторами) бюджетных средств внутреннего финансового контроля и внутреннего финансового аудита</w:t>
            </w:r>
          </w:p>
        </w:tc>
        <w:tc>
          <w:tcPr>
            <w:tcW w:w="992" w:type="dxa"/>
            <w:vMerge w:val="restart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Итоговая оценка (сумма значений в графах 2 + 3 + ... + 35)</w:t>
            </w:r>
          </w:p>
        </w:tc>
        <w:tc>
          <w:tcPr>
            <w:tcW w:w="1843" w:type="dxa"/>
            <w:gridSpan w:val="2"/>
            <w:vMerge w:val="restart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Численность структурного подразделения внутреннего финансового аудита и (или) количество уполномоченных должностных лиц, наделенных полномочиями по осуществлению внутреннего финансового аудита (чел.)</w:t>
            </w:r>
          </w:p>
        </w:tc>
      </w:tr>
      <w:tr w:rsidR="00581473" w:rsidRPr="00581473" w:rsidTr="00FD47AF">
        <w:tc>
          <w:tcPr>
            <w:tcW w:w="99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8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Качество нормативно-правового обеспечения осуществления внутреннего финансового контроля и внутреннего финансового аудита</w:t>
            </w:r>
          </w:p>
        </w:tc>
        <w:tc>
          <w:tcPr>
            <w:tcW w:w="2977" w:type="dxa"/>
            <w:gridSpan w:val="10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Качество подготовки к проведению внутреннего финансового контроля и внутреннего финансового аудита</w:t>
            </w:r>
          </w:p>
        </w:tc>
        <w:tc>
          <w:tcPr>
            <w:tcW w:w="6520" w:type="dxa"/>
            <w:gridSpan w:val="16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Качество организации и осуществления внутреннего финансового контроля и внутреннего финансового аудита</w:t>
            </w:r>
          </w:p>
        </w:tc>
        <w:tc>
          <w:tcPr>
            <w:tcW w:w="992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99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2.9</w:t>
            </w:r>
          </w:p>
        </w:tc>
        <w:tc>
          <w:tcPr>
            <w:tcW w:w="426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3.8</w:t>
            </w: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3.9</w:t>
            </w:r>
          </w:p>
        </w:tc>
        <w:tc>
          <w:tcPr>
            <w:tcW w:w="567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3.10</w:t>
            </w:r>
          </w:p>
        </w:tc>
        <w:tc>
          <w:tcPr>
            <w:tcW w:w="567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3.11</w:t>
            </w:r>
          </w:p>
        </w:tc>
        <w:tc>
          <w:tcPr>
            <w:tcW w:w="567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3.12</w:t>
            </w:r>
          </w:p>
        </w:tc>
        <w:tc>
          <w:tcPr>
            <w:tcW w:w="567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3.13</w:t>
            </w:r>
          </w:p>
        </w:tc>
        <w:tc>
          <w:tcPr>
            <w:tcW w:w="567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3.14</w:t>
            </w:r>
          </w:p>
        </w:tc>
        <w:tc>
          <w:tcPr>
            <w:tcW w:w="567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3.15</w:t>
            </w:r>
          </w:p>
        </w:tc>
        <w:tc>
          <w:tcPr>
            <w:tcW w:w="567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3.16</w:t>
            </w:r>
          </w:p>
        </w:tc>
        <w:tc>
          <w:tcPr>
            <w:tcW w:w="992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gridSpan w:val="2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1473" w:rsidRPr="00581473" w:rsidTr="00FD47AF">
        <w:tc>
          <w:tcPr>
            <w:tcW w:w="993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65" w:type="dxa"/>
            <w:gridSpan w:val="34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Проставляются баллы выбранных вариантов ответов</w:t>
            </w:r>
          </w:p>
        </w:tc>
        <w:tc>
          <w:tcPr>
            <w:tcW w:w="992" w:type="dxa"/>
            <w:vMerge/>
          </w:tcPr>
          <w:p w:rsidR="00581473" w:rsidRPr="00581473" w:rsidRDefault="00581473" w:rsidP="0058147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Штат</w:t>
            </w:r>
          </w:p>
        </w:tc>
        <w:tc>
          <w:tcPr>
            <w:tcW w:w="879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</w:tr>
      <w:tr w:rsidR="00581473" w:rsidRPr="00581473" w:rsidTr="00FD47AF">
        <w:tc>
          <w:tcPr>
            <w:tcW w:w="99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6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6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79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14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</w:tr>
      <w:tr w:rsidR="00581473" w:rsidRPr="00581473" w:rsidTr="00FD47AF">
        <w:tc>
          <w:tcPr>
            <w:tcW w:w="99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9" w:type="dxa"/>
          </w:tcPr>
          <w:p w:rsidR="00581473" w:rsidRPr="00581473" w:rsidRDefault="00581473" w:rsidP="005814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81473" w:rsidRPr="00581473" w:rsidRDefault="00581473" w:rsidP="0058147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7533A1" w:rsidRDefault="007533A1" w:rsidP="00581473">
      <w:pPr>
        <w:widowControl w:val="0"/>
        <w:tabs>
          <w:tab w:val="left" w:pos="9355"/>
        </w:tabs>
        <w:spacing w:after="0" w:line="326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7533A1" w:rsidSect="00581473">
      <w:headerReference w:type="even" r:id="rId10"/>
      <w:headerReference w:type="default" r:id="rId11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1F0" w:rsidRDefault="00A051F0">
      <w:pPr>
        <w:spacing w:after="0" w:line="240" w:lineRule="auto"/>
      </w:pPr>
      <w:r>
        <w:separator/>
      </w:r>
    </w:p>
  </w:endnote>
  <w:endnote w:type="continuationSeparator" w:id="0">
    <w:p w:rsidR="00A051F0" w:rsidRDefault="00A0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1F0" w:rsidRDefault="00A051F0">
      <w:pPr>
        <w:spacing w:after="0" w:line="240" w:lineRule="auto"/>
      </w:pPr>
      <w:r>
        <w:separator/>
      </w:r>
    </w:p>
  </w:footnote>
  <w:footnote w:type="continuationSeparator" w:id="0">
    <w:p w:rsidR="00A051F0" w:rsidRDefault="00A0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2F" w:rsidRDefault="00F8002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02F" w:rsidRDefault="00F8002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506"/>
    <w:multiLevelType w:val="multilevel"/>
    <w:tmpl w:val="7F92730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BB4DA1"/>
    <w:multiLevelType w:val="multilevel"/>
    <w:tmpl w:val="9B62966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9D5652"/>
    <w:multiLevelType w:val="multilevel"/>
    <w:tmpl w:val="A4528CF4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2E549E"/>
    <w:multiLevelType w:val="multilevel"/>
    <w:tmpl w:val="DD1C274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D91AD3"/>
    <w:multiLevelType w:val="multilevel"/>
    <w:tmpl w:val="9702B65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BE4D56"/>
    <w:multiLevelType w:val="multilevel"/>
    <w:tmpl w:val="3168E2A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DD1D3F"/>
    <w:multiLevelType w:val="multilevel"/>
    <w:tmpl w:val="518CE8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D20DC7"/>
    <w:multiLevelType w:val="multilevel"/>
    <w:tmpl w:val="7158DB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31F2"/>
    <w:rsid w:val="00004997"/>
    <w:rsid w:val="00011C65"/>
    <w:rsid w:val="00014052"/>
    <w:rsid w:val="00025BC5"/>
    <w:rsid w:val="00027E11"/>
    <w:rsid w:val="00033564"/>
    <w:rsid w:val="000569DD"/>
    <w:rsid w:val="00060CE4"/>
    <w:rsid w:val="00075D11"/>
    <w:rsid w:val="00077C7A"/>
    <w:rsid w:val="000846DE"/>
    <w:rsid w:val="000C2B06"/>
    <w:rsid w:val="000C6444"/>
    <w:rsid w:val="000D137B"/>
    <w:rsid w:val="000D2977"/>
    <w:rsid w:val="000E0AEF"/>
    <w:rsid w:val="000E1332"/>
    <w:rsid w:val="001101DF"/>
    <w:rsid w:val="00112810"/>
    <w:rsid w:val="001235B0"/>
    <w:rsid w:val="00124EA5"/>
    <w:rsid w:val="0013296B"/>
    <w:rsid w:val="001563C9"/>
    <w:rsid w:val="00177E58"/>
    <w:rsid w:val="00181A70"/>
    <w:rsid w:val="00184907"/>
    <w:rsid w:val="00186183"/>
    <w:rsid w:val="001869E4"/>
    <w:rsid w:val="001A01C7"/>
    <w:rsid w:val="001A0712"/>
    <w:rsid w:val="001A08B3"/>
    <w:rsid w:val="001B433E"/>
    <w:rsid w:val="001C386C"/>
    <w:rsid w:val="001C549A"/>
    <w:rsid w:val="001C6C4A"/>
    <w:rsid w:val="001C6EE2"/>
    <w:rsid w:val="001D0286"/>
    <w:rsid w:val="001D0DEA"/>
    <w:rsid w:val="001D1573"/>
    <w:rsid w:val="001F1D38"/>
    <w:rsid w:val="001F7233"/>
    <w:rsid w:val="002057D2"/>
    <w:rsid w:val="00206E44"/>
    <w:rsid w:val="00207F64"/>
    <w:rsid w:val="00216102"/>
    <w:rsid w:val="002230BD"/>
    <w:rsid w:val="00223282"/>
    <w:rsid w:val="00230AD9"/>
    <w:rsid w:val="0024580F"/>
    <w:rsid w:val="00247AF8"/>
    <w:rsid w:val="002655EA"/>
    <w:rsid w:val="00271B2C"/>
    <w:rsid w:val="00273C6A"/>
    <w:rsid w:val="00275827"/>
    <w:rsid w:val="002770F4"/>
    <w:rsid w:val="00280254"/>
    <w:rsid w:val="00291FC4"/>
    <w:rsid w:val="00292202"/>
    <w:rsid w:val="00295158"/>
    <w:rsid w:val="00295EEE"/>
    <w:rsid w:val="002B61DA"/>
    <w:rsid w:val="002D10A3"/>
    <w:rsid w:val="002D14BA"/>
    <w:rsid w:val="002E5B5E"/>
    <w:rsid w:val="002F25CD"/>
    <w:rsid w:val="002F4C08"/>
    <w:rsid w:val="003008AA"/>
    <w:rsid w:val="00322ECE"/>
    <w:rsid w:val="00327F2B"/>
    <w:rsid w:val="00342584"/>
    <w:rsid w:val="00363294"/>
    <w:rsid w:val="003650D1"/>
    <w:rsid w:val="003660A5"/>
    <w:rsid w:val="00367EEE"/>
    <w:rsid w:val="00375A0F"/>
    <w:rsid w:val="00387F2D"/>
    <w:rsid w:val="00397D60"/>
    <w:rsid w:val="003A2FF9"/>
    <w:rsid w:val="003C261A"/>
    <w:rsid w:val="003C39F2"/>
    <w:rsid w:val="003C3EB4"/>
    <w:rsid w:val="003D229F"/>
    <w:rsid w:val="003D3072"/>
    <w:rsid w:val="00400D31"/>
    <w:rsid w:val="00401B6B"/>
    <w:rsid w:val="00411EB1"/>
    <w:rsid w:val="00421524"/>
    <w:rsid w:val="004244F4"/>
    <w:rsid w:val="004304ED"/>
    <w:rsid w:val="00436D49"/>
    <w:rsid w:val="00446A33"/>
    <w:rsid w:val="004503A0"/>
    <w:rsid w:val="00453685"/>
    <w:rsid w:val="00457403"/>
    <w:rsid w:val="00460208"/>
    <w:rsid w:val="00464CC1"/>
    <w:rsid w:val="0047118C"/>
    <w:rsid w:val="00474EF5"/>
    <w:rsid w:val="00492302"/>
    <w:rsid w:val="00492DA3"/>
    <w:rsid w:val="00494E3B"/>
    <w:rsid w:val="004C398A"/>
    <w:rsid w:val="004C4F76"/>
    <w:rsid w:val="004D2F5F"/>
    <w:rsid w:val="004D7ED5"/>
    <w:rsid w:val="004E5C19"/>
    <w:rsid w:val="004F321A"/>
    <w:rsid w:val="004F447F"/>
    <w:rsid w:val="005034A3"/>
    <w:rsid w:val="00517719"/>
    <w:rsid w:val="005235F8"/>
    <w:rsid w:val="00524B03"/>
    <w:rsid w:val="0053350A"/>
    <w:rsid w:val="00537334"/>
    <w:rsid w:val="005410E4"/>
    <w:rsid w:val="00560EC9"/>
    <w:rsid w:val="005777C4"/>
    <w:rsid w:val="00581473"/>
    <w:rsid w:val="00583B21"/>
    <w:rsid w:val="005A1616"/>
    <w:rsid w:val="005D44A7"/>
    <w:rsid w:val="005D47F3"/>
    <w:rsid w:val="005E6514"/>
    <w:rsid w:val="005F2B0F"/>
    <w:rsid w:val="00602433"/>
    <w:rsid w:val="0060381B"/>
    <w:rsid w:val="00604F91"/>
    <w:rsid w:val="00617489"/>
    <w:rsid w:val="00632753"/>
    <w:rsid w:val="00644506"/>
    <w:rsid w:val="0065204D"/>
    <w:rsid w:val="00662D82"/>
    <w:rsid w:val="006632F5"/>
    <w:rsid w:val="00671D01"/>
    <w:rsid w:val="00671FF9"/>
    <w:rsid w:val="006813BD"/>
    <w:rsid w:val="00685C53"/>
    <w:rsid w:val="006A3AA0"/>
    <w:rsid w:val="006A5C40"/>
    <w:rsid w:val="006A7327"/>
    <w:rsid w:val="006B5A9D"/>
    <w:rsid w:val="006C4DAB"/>
    <w:rsid w:val="006E01E2"/>
    <w:rsid w:val="006F2814"/>
    <w:rsid w:val="006F53E8"/>
    <w:rsid w:val="006F5C4C"/>
    <w:rsid w:val="00714432"/>
    <w:rsid w:val="00732FFF"/>
    <w:rsid w:val="007533A1"/>
    <w:rsid w:val="00760DDC"/>
    <w:rsid w:val="00774C74"/>
    <w:rsid w:val="0077721D"/>
    <w:rsid w:val="00792875"/>
    <w:rsid w:val="00796631"/>
    <w:rsid w:val="0079694C"/>
    <w:rsid w:val="007A0A35"/>
    <w:rsid w:val="007B5D3F"/>
    <w:rsid w:val="007C73AB"/>
    <w:rsid w:val="007D6605"/>
    <w:rsid w:val="007D709D"/>
    <w:rsid w:val="007E09BE"/>
    <w:rsid w:val="007E0AEA"/>
    <w:rsid w:val="007E0B9A"/>
    <w:rsid w:val="007F5FFA"/>
    <w:rsid w:val="00813331"/>
    <w:rsid w:val="00813813"/>
    <w:rsid w:val="00823746"/>
    <w:rsid w:val="00830AC7"/>
    <w:rsid w:val="00845F84"/>
    <w:rsid w:val="00855DD0"/>
    <w:rsid w:val="00873347"/>
    <w:rsid w:val="00876E1E"/>
    <w:rsid w:val="00880E64"/>
    <w:rsid w:val="0088149C"/>
    <w:rsid w:val="008A48D3"/>
    <w:rsid w:val="008A65AF"/>
    <w:rsid w:val="008B3BF3"/>
    <w:rsid w:val="008B4EFE"/>
    <w:rsid w:val="008B6BDA"/>
    <w:rsid w:val="008C46CA"/>
    <w:rsid w:val="008D2556"/>
    <w:rsid w:val="008E50B0"/>
    <w:rsid w:val="008E5D3B"/>
    <w:rsid w:val="008F72CE"/>
    <w:rsid w:val="00903870"/>
    <w:rsid w:val="00903AD9"/>
    <w:rsid w:val="00905CBC"/>
    <w:rsid w:val="00911789"/>
    <w:rsid w:val="009140BD"/>
    <w:rsid w:val="009578FF"/>
    <w:rsid w:val="00960167"/>
    <w:rsid w:val="00966DA8"/>
    <w:rsid w:val="00976D55"/>
    <w:rsid w:val="00985D9D"/>
    <w:rsid w:val="009A7EFF"/>
    <w:rsid w:val="009B640B"/>
    <w:rsid w:val="009B65A5"/>
    <w:rsid w:val="009B725F"/>
    <w:rsid w:val="009C1A32"/>
    <w:rsid w:val="009F388B"/>
    <w:rsid w:val="009F4256"/>
    <w:rsid w:val="00A0091E"/>
    <w:rsid w:val="00A051F0"/>
    <w:rsid w:val="00A11801"/>
    <w:rsid w:val="00A27BAA"/>
    <w:rsid w:val="00A34CA5"/>
    <w:rsid w:val="00A37057"/>
    <w:rsid w:val="00A41A79"/>
    <w:rsid w:val="00A62884"/>
    <w:rsid w:val="00A71612"/>
    <w:rsid w:val="00A750E4"/>
    <w:rsid w:val="00A9002A"/>
    <w:rsid w:val="00A900A0"/>
    <w:rsid w:val="00A90A73"/>
    <w:rsid w:val="00A93E1A"/>
    <w:rsid w:val="00AB01AC"/>
    <w:rsid w:val="00AB39FF"/>
    <w:rsid w:val="00AC3CA9"/>
    <w:rsid w:val="00AD2927"/>
    <w:rsid w:val="00AF458C"/>
    <w:rsid w:val="00B02BFD"/>
    <w:rsid w:val="00B1330F"/>
    <w:rsid w:val="00B30EF9"/>
    <w:rsid w:val="00B32481"/>
    <w:rsid w:val="00B343A4"/>
    <w:rsid w:val="00B614EE"/>
    <w:rsid w:val="00B67FE1"/>
    <w:rsid w:val="00B824BA"/>
    <w:rsid w:val="00B83381"/>
    <w:rsid w:val="00B8623C"/>
    <w:rsid w:val="00B86DF9"/>
    <w:rsid w:val="00B93D2C"/>
    <w:rsid w:val="00BA7351"/>
    <w:rsid w:val="00BC0EE0"/>
    <w:rsid w:val="00BC17E0"/>
    <w:rsid w:val="00BF4F69"/>
    <w:rsid w:val="00C06978"/>
    <w:rsid w:val="00C101E0"/>
    <w:rsid w:val="00C23080"/>
    <w:rsid w:val="00C337C5"/>
    <w:rsid w:val="00C560FB"/>
    <w:rsid w:val="00C6057A"/>
    <w:rsid w:val="00C6470F"/>
    <w:rsid w:val="00C94F63"/>
    <w:rsid w:val="00CA58B7"/>
    <w:rsid w:val="00CB2D27"/>
    <w:rsid w:val="00CB74FA"/>
    <w:rsid w:val="00CC7945"/>
    <w:rsid w:val="00CD09C9"/>
    <w:rsid w:val="00CD2F1C"/>
    <w:rsid w:val="00CD31F7"/>
    <w:rsid w:val="00CE3A1B"/>
    <w:rsid w:val="00CE583B"/>
    <w:rsid w:val="00CF06C9"/>
    <w:rsid w:val="00CF2063"/>
    <w:rsid w:val="00D02709"/>
    <w:rsid w:val="00D04755"/>
    <w:rsid w:val="00D13A7E"/>
    <w:rsid w:val="00D46AE2"/>
    <w:rsid w:val="00D5155D"/>
    <w:rsid w:val="00D6644E"/>
    <w:rsid w:val="00D92291"/>
    <w:rsid w:val="00DA7746"/>
    <w:rsid w:val="00DB2090"/>
    <w:rsid w:val="00DC547F"/>
    <w:rsid w:val="00DC6F47"/>
    <w:rsid w:val="00DD2760"/>
    <w:rsid w:val="00DD4580"/>
    <w:rsid w:val="00DE0237"/>
    <w:rsid w:val="00DE6CFD"/>
    <w:rsid w:val="00DF25ED"/>
    <w:rsid w:val="00DF6D0D"/>
    <w:rsid w:val="00E072A3"/>
    <w:rsid w:val="00E11632"/>
    <w:rsid w:val="00E16EC4"/>
    <w:rsid w:val="00E276ED"/>
    <w:rsid w:val="00E3758F"/>
    <w:rsid w:val="00E408A0"/>
    <w:rsid w:val="00E521D2"/>
    <w:rsid w:val="00E54F23"/>
    <w:rsid w:val="00E55D1E"/>
    <w:rsid w:val="00E55F32"/>
    <w:rsid w:val="00E576E3"/>
    <w:rsid w:val="00E679FE"/>
    <w:rsid w:val="00E7273B"/>
    <w:rsid w:val="00E80A7D"/>
    <w:rsid w:val="00E8525C"/>
    <w:rsid w:val="00EA1CA6"/>
    <w:rsid w:val="00EB5F58"/>
    <w:rsid w:val="00EC4EA5"/>
    <w:rsid w:val="00EC5B59"/>
    <w:rsid w:val="00EC62C9"/>
    <w:rsid w:val="00EC6487"/>
    <w:rsid w:val="00EC68B6"/>
    <w:rsid w:val="00EE1F32"/>
    <w:rsid w:val="00EE2C97"/>
    <w:rsid w:val="00EE3DC5"/>
    <w:rsid w:val="00F04DFF"/>
    <w:rsid w:val="00F10927"/>
    <w:rsid w:val="00F12610"/>
    <w:rsid w:val="00F16AC5"/>
    <w:rsid w:val="00F302C4"/>
    <w:rsid w:val="00F36C9A"/>
    <w:rsid w:val="00F40DA2"/>
    <w:rsid w:val="00F417FD"/>
    <w:rsid w:val="00F518CC"/>
    <w:rsid w:val="00F55118"/>
    <w:rsid w:val="00F56529"/>
    <w:rsid w:val="00F6666D"/>
    <w:rsid w:val="00F74605"/>
    <w:rsid w:val="00F77EED"/>
    <w:rsid w:val="00F8002F"/>
    <w:rsid w:val="00F81E2F"/>
    <w:rsid w:val="00F951BB"/>
    <w:rsid w:val="00FA0A2C"/>
    <w:rsid w:val="00FC5090"/>
    <w:rsid w:val="00FE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8147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276E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53E8"/>
    <w:rPr>
      <w:rFonts w:ascii="Segoe UI" w:hAnsi="Segoe UI" w:cs="Segoe UI"/>
      <w:sz w:val="18"/>
      <w:szCs w:val="18"/>
    </w:rPr>
  </w:style>
  <w:style w:type="character" w:customStyle="1" w:styleId="a8">
    <w:name w:val="Колонтитул"/>
    <w:basedOn w:val="a0"/>
    <w:rsid w:val="00F8002F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David">
    <w:name w:val="Колонтитул + David"/>
    <w:aliases w:val="46 pt"/>
    <w:basedOn w:val="a0"/>
    <w:rsid w:val="00F8002F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92"/>
      <w:szCs w:val="92"/>
      <w:u w:val="none"/>
      <w:lang w:val="ru-RU" w:eastAsia="ru-RU" w:bidi="ru-RU"/>
    </w:rPr>
  </w:style>
  <w:style w:type="character" w:styleId="a9">
    <w:name w:val="line number"/>
    <w:basedOn w:val="a0"/>
    <w:uiPriority w:val="99"/>
    <w:semiHidden/>
    <w:unhideWhenUsed/>
    <w:rsid w:val="007B5D3F"/>
  </w:style>
  <w:style w:type="character" w:styleId="aa">
    <w:name w:val="Hyperlink"/>
    <w:basedOn w:val="a0"/>
    <w:uiPriority w:val="99"/>
    <w:unhideWhenUsed/>
    <w:rsid w:val="002057D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81473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81473"/>
  </w:style>
  <w:style w:type="paragraph" w:styleId="ab">
    <w:name w:val="Title"/>
    <w:basedOn w:val="a"/>
    <w:link w:val="ac"/>
    <w:qFormat/>
    <w:rsid w:val="0058147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58147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58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nhideWhenUsed/>
    <w:rsid w:val="0058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581473"/>
  </w:style>
  <w:style w:type="character" w:styleId="ae">
    <w:name w:val="FollowedHyperlink"/>
    <w:basedOn w:val="a0"/>
    <w:uiPriority w:val="99"/>
    <w:semiHidden/>
    <w:unhideWhenUsed/>
    <w:rsid w:val="00581473"/>
    <w:rPr>
      <w:color w:val="800080" w:themeColor="followedHyperlink"/>
      <w:u w:val="single"/>
    </w:rPr>
  </w:style>
  <w:style w:type="paragraph" w:customStyle="1" w:styleId="ConsPlusTitlePage">
    <w:name w:val="ConsPlusTitlePage"/>
    <w:rsid w:val="005814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58147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E276E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F5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53E8"/>
    <w:rPr>
      <w:rFonts w:ascii="Segoe UI" w:hAnsi="Segoe UI" w:cs="Segoe UI"/>
      <w:sz w:val="18"/>
      <w:szCs w:val="18"/>
    </w:rPr>
  </w:style>
  <w:style w:type="character" w:customStyle="1" w:styleId="a8">
    <w:name w:val="Колонтитул"/>
    <w:basedOn w:val="a0"/>
    <w:rsid w:val="00F8002F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David">
    <w:name w:val="Колонтитул + David"/>
    <w:aliases w:val="46 pt"/>
    <w:basedOn w:val="a0"/>
    <w:rsid w:val="00F8002F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92"/>
      <w:szCs w:val="92"/>
      <w:u w:val="none"/>
      <w:lang w:val="ru-RU" w:eastAsia="ru-RU" w:bidi="ru-RU"/>
    </w:rPr>
  </w:style>
  <w:style w:type="character" w:styleId="a9">
    <w:name w:val="line number"/>
    <w:basedOn w:val="a0"/>
    <w:uiPriority w:val="99"/>
    <w:semiHidden/>
    <w:unhideWhenUsed/>
    <w:rsid w:val="007B5D3F"/>
  </w:style>
  <w:style w:type="character" w:styleId="aa">
    <w:name w:val="Hyperlink"/>
    <w:basedOn w:val="a0"/>
    <w:uiPriority w:val="99"/>
    <w:unhideWhenUsed/>
    <w:rsid w:val="002057D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581473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81473"/>
  </w:style>
  <w:style w:type="paragraph" w:styleId="ab">
    <w:name w:val="Title"/>
    <w:basedOn w:val="a"/>
    <w:link w:val="ac"/>
    <w:qFormat/>
    <w:rsid w:val="0058147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58147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58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rmal (Web)"/>
    <w:basedOn w:val="a"/>
    <w:unhideWhenUsed/>
    <w:rsid w:val="00581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581473"/>
  </w:style>
  <w:style w:type="character" w:styleId="ae">
    <w:name w:val="FollowedHyperlink"/>
    <w:basedOn w:val="a0"/>
    <w:uiPriority w:val="99"/>
    <w:semiHidden/>
    <w:unhideWhenUsed/>
    <w:rsid w:val="00581473"/>
    <w:rPr>
      <w:color w:val="800080" w:themeColor="followedHyperlink"/>
      <w:u w:val="single"/>
    </w:rPr>
  </w:style>
  <w:style w:type="paragraph" w:customStyle="1" w:styleId="ConsPlusTitlePage">
    <w:name w:val="ConsPlusTitlePage"/>
    <w:rsid w:val="005814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velizh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C7A3F-F429-4724-842B-C8044C69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19</Pages>
  <Words>6798</Words>
  <Characters>38752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371</cp:revision>
  <cp:lastPrinted>2018-03-26T10:20:00Z</cp:lastPrinted>
  <dcterms:created xsi:type="dcterms:W3CDTF">2016-11-21T06:08:00Z</dcterms:created>
  <dcterms:modified xsi:type="dcterms:W3CDTF">2019-12-10T06:41:00Z</dcterms:modified>
</cp:coreProperties>
</file>