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0"/>
        </w:rPr>
      </w:pPr>
      <w:r>
        <w:rPr>
          <w:b/>
          <w:sz w:val="32"/>
          <w:szCs w:val="20"/>
        </w:rPr>
        <w:t xml:space="preserve">ВЕЛИЖСКАЯ ТЕРРИТОРИАЛЬНАЯ ИЗБИРАТЕЛЬНАЯ КОМИССИЯ СМОЛЕНСКОЙ ОБЛАСТИ</w:t>
      </w:r>
      <w:r>
        <w:rPr>
          <w:b/>
          <w:sz w:val="28"/>
          <w:szCs w:val="20"/>
        </w:rPr>
        <w:t xml:space="preserve"> </w:t>
      </w:r>
      <w:r/>
    </w:p>
    <w:p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</w:r>
      <w:r/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sz w:val="32"/>
          <w:szCs w:val="20"/>
        </w:rPr>
        <w:t xml:space="preserve">ПОСТАНОВЛЕНИЕ</w:t>
      </w:r>
      <w:r/>
    </w:p>
    <w:p>
      <w:pPr>
        <w:jc w:val="center"/>
        <w:rPr>
          <w:color w:val="000000"/>
          <w:spacing w:val="60"/>
          <w:sz w:val="28"/>
          <w:szCs w:val="28"/>
        </w:rPr>
      </w:pPr>
      <w:r>
        <w:rPr>
          <w:color w:val="000000"/>
          <w:spacing w:val="60"/>
          <w:sz w:val="28"/>
          <w:szCs w:val="28"/>
        </w:rPr>
      </w:r>
      <w:r/>
    </w:p>
    <w:p>
      <w:pPr>
        <w:jc w:val="center"/>
        <w:rPr>
          <w:color w:val="000000"/>
          <w:spacing w:val="60"/>
          <w:sz w:val="28"/>
          <w:szCs w:val="28"/>
        </w:rPr>
      </w:pPr>
      <w:r>
        <w:rPr>
          <w:color w:val="000000"/>
          <w:spacing w:val="60"/>
          <w:sz w:val="28"/>
          <w:szCs w:val="28"/>
        </w:rPr>
      </w:r>
      <w:r/>
    </w:p>
    <w:tbl>
      <w:tblPr>
        <w:tblpPr w:horzAnchor="margin" w:tblpXSpec="center" w:vertAnchor="text" w:tblpY="17" w:leftFromText="180" w:topFromText="0" w:rightFromText="180" w:bottomFromText="0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>
        <w:trPr>
          <w:trHeight w:val="322"/>
        </w:trPr>
        <w:tc>
          <w:tcPr>
            <w:tcW w:w="3936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</w:rPr>
              <w:t xml:space="preserve">02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сентября</w:t>
            </w:r>
            <w:r>
              <w:rPr>
                <w:color w:val="000000"/>
                <w:sz w:val="28"/>
                <w:szCs w:val="28"/>
              </w:rPr>
              <w:t xml:space="preserve">  2024  года</w:t>
            </w:r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</w:r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6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/1</w:t>
            </w:r>
            <w:r>
              <w:rPr>
                <w:color w:val="000000"/>
                <w:sz w:val="28"/>
                <w:szCs w:val="28"/>
              </w:rPr>
              <w:t xml:space="preserve">83</w:t>
            </w:r>
            <w:r/>
          </w:p>
        </w:tc>
      </w:tr>
      <w:tr>
        <w:trPr>
          <w:trHeight w:val="322"/>
        </w:trPr>
        <w:tc>
          <w:tcPr>
            <w:tcW w:w="39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</w:r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Велиж</w:t>
            </w:r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</w:r>
            <w:r/>
          </w:p>
        </w:tc>
      </w:tr>
    </w:tbl>
    <w:p>
      <w:pPr>
        <w:ind w:firstLine="1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>
        <w:trPr/>
        <w:tc>
          <w:tcPr>
            <w:tcW w:w="9360" w:type="dxa"/>
            <w:textDirection w:val="lrTb"/>
            <w:noWrap w:val="false"/>
          </w:tcPr>
          <w:p>
            <w:pPr>
              <w:pStyle w:val="604"/>
              <w:ind w:hanging="7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604"/>
              <w:ind w:hanging="70"/>
              <w:jc w:val="left"/>
              <w:rPr>
                <w:bCs/>
              </w:rPr>
            </w:pPr>
            <w:r>
              <w:rPr>
                <w:bCs/>
              </w:rPr>
              <w:t xml:space="preserve">О </w:t>
            </w:r>
            <w:r>
              <w:rPr>
                <w:bCs/>
              </w:rPr>
              <w:t xml:space="preserve">восстановлении полномочий </w:t>
            </w:r>
            <w:r>
              <w:rPr>
                <w:bCs/>
              </w:rPr>
              <w:t xml:space="preserve">члена</w:t>
            </w:r>
            <w:r/>
          </w:p>
          <w:p>
            <w:pPr>
              <w:pStyle w:val="604"/>
              <w:ind w:hanging="70"/>
              <w:jc w:val="left"/>
              <w:rPr>
                <w:bCs/>
              </w:rPr>
            </w:pPr>
            <w:r>
              <w:rPr>
                <w:bCs/>
              </w:rPr>
              <w:t xml:space="preserve">Велижской территориальной</w:t>
            </w:r>
            <w:r/>
          </w:p>
          <w:p>
            <w:pPr>
              <w:pStyle w:val="604"/>
              <w:ind w:hanging="70"/>
              <w:jc w:val="left"/>
              <w:rPr>
                <w:bCs/>
              </w:rPr>
            </w:pPr>
            <w:r>
              <w:rPr>
                <w:bCs/>
              </w:rPr>
              <w:t xml:space="preserve">избирательной комиссии</w:t>
            </w:r>
            <w:r/>
          </w:p>
          <w:p>
            <w:pPr>
              <w:pStyle w:val="604"/>
              <w:ind w:hanging="70"/>
              <w:jc w:val="left"/>
              <w:rPr>
                <w:bCs/>
              </w:rPr>
            </w:pPr>
            <w:r>
              <w:rPr>
                <w:bCs/>
              </w:rPr>
              <w:t xml:space="preserve">Смоленской области</w:t>
            </w:r>
            <w:r>
              <w:rPr>
                <w:bCs/>
              </w:rPr>
              <w:t xml:space="preserve"> с правом решающего голоса</w:t>
            </w:r>
            <w:r/>
          </w:p>
          <w:p>
            <w:pPr>
              <w:pStyle w:val="604"/>
              <w:ind w:hanging="70"/>
              <w:jc w:val="left"/>
              <w:rPr>
                <w:b/>
              </w:rPr>
            </w:pPr>
            <w:r>
              <w:rPr>
                <w:bCs/>
              </w:rPr>
              <w:t xml:space="preserve">Воробьевой Инны Анатольевны</w:t>
            </w:r>
            <w:r>
              <w:rPr>
                <w:bCs/>
              </w:rPr>
            </w:r>
            <w:r/>
          </w:p>
          <w:p>
            <w:pPr>
              <w:pStyle w:val="604"/>
              <w:jc w:val="center"/>
              <w:spacing w:lineRule="exact" w:line="240"/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</w:t>
            </w:r>
            <w:r>
              <w:rPr>
                <w:b/>
                <w:bCs/>
                <w:sz w:val="24"/>
              </w:rPr>
              <w:t xml:space="preserve">                                              </w:t>
            </w:r>
            <w:r/>
          </w:p>
        </w:tc>
      </w:tr>
    </w:tbl>
    <w:p>
      <w:pPr>
        <w:ind w:firstLine="720"/>
        <w:jc w:val="both"/>
        <w:spacing w:before="120"/>
        <w:tabs>
          <w:tab w:val="left" w:pos="306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20"/>
        <w:jc w:val="both"/>
        <w:spacing w:before="120"/>
        <w:tabs>
          <w:tab w:val="left" w:pos="3060" w:leader="none"/>
        </w:tabs>
        <w:rPr>
          <w:sz w:val="28"/>
        </w:rPr>
      </w:pPr>
      <w:r>
        <w:rPr>
          <w:bCs/>
          <w:sz w:val="28"/>
          <w:szCs w:val="28"/>
        </w:rPr>
        <w:t xml:space="preserve">В соответствии с подпунктом «</w:t>
      </w:r>
      <w:r>
        <w:rPr>
          <w:bCs/>
          <w:sz w:val="28"/>
          <w:szCs w:val="28"/>
        </w:rPr>
        <w:t xml:space="preserve">л</w:t>
      </w:r>
      <w:r>
        <w:rPr>
          <w:bCs/>
          <w:sz w:val="28"/>
          <w:szCs w:val="28"/>
        </w:rPr>
        <w:t xml:space="preserve">» пункта 1 и пунктом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разделом 1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Методических рекомендаций </w:t>
      </w:r>
      <w:r>
        <w:rPr>
          <w:bCs/>
          <w:sz w:val="28"/>
          <w:szCs w:val="28"/>
        </w:rPr>
        <w:t xml:space="preserve">о порядке формирования территориальных, окружных и участковых избирательных комиссий</w:t>
      </w:r>
      <w:r>
        <w:rPr>
          <w:bCs/>
          <w:sz w:val="28"/>
          <w:szCs w:val="28"/>
        </w:rPr>
        <w:t xml:space="preserve">, утвержденных постановлением Центральной избирательной комиссии Российской Федерации от </w:t>
      </w:r>
      <w:r>
        <w:rPr>
          <w:bCs/>
          <w:sz w:val="28"/>
          <w:szCs w:val="28"/>
        </w:rPr>
        <w:t xml:space="preserve">15 марта 2023 г. №</w:t>
      </w:r>
      <w:r>
        <w:rPr>
          <w:bCs/>
          <w:sz w:val="28"/>
          <w:szCs w:val="28"/>
        </w:rPr>
        <w:t xml:space="preserve">111</w:t>
      </w:r>
      <w:r>
        <w:rPr>
          <w:bCs/>
          <w:sz w:val="28"/>
          <w:szCs w:val="28"/>
        </w:rPr>
        <w:t xml:space="preserve">/863-8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увольнением с работы </w:t>
      </w:r>
      <w:r>
        <w:rPr>
          <w:sz w:val="28"/>
          <w:szCs w:val="28"/>
        </w:rPr>
        <w:t xml:space="preserve">выдвинутого 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>
        <w:rPr>
          <w:sz w:val="28"/>
          <w:szCs w:val="28"/>
        </w:rPr>
        <w:t xml:space="preserve">Глуздова Петра Тимофеевича,</w:t>
      </w:r>
      <w:r>
        <w:rPr>
          <w:sz w:val="28"/>
          <w:szCs w:val="28"/>
        </w:rPr>
        <w:t xml:space="preserve"> у которого Воробьева И.А.</w:t>
      </w:r>
      <w:r>
        <w:rPr>
          <w:sz w:val="28"/>
          <w:szCs w:val="28"/>
        </w:rPr>
        <w:t xml:space="preserve"> находилась в прямом подчине</w:t>
      </w:r>
      <w:r>
        <w:rPr>
          <w:sz w:val="28"/>
          <w:szCs w:val="28"/>
        </w:rPr>
        <w:t xml:space="preserve">нии,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Велижская территориальная избирательная комиссия Смоленской области</w:t>
      </w:r>
      <w:r/>
    </w:p>
    <w:p>
      <w:pPr>
        <w:jc w:val="both"/>
        <w:spacing w:before="120"/>
        <w:tabs>
          <w:tab w:val="left" w:pos="3060" w:leader="none"/>
        </w:tabs>
        <w:rPr>
          <w:sz w:val="28"/>
        </w:rPr>
      </w:pPr>
      <w:r>
        <w:rPr>
          <w:sz w:val="28"/>
        </w:rPr>
        <w:t xml:space="preserve"> </w:t>
      </w:r>
      <w:r/>
    </w:p>
    <w:p>
      <w:pPr>
        <w:jc w:val="both"/>
        <w:spacing w:before="120"/>
        <w:tabs>
          <w:tab w:val="left" w:pos="3060" w:leader="none"/>
        </w:tabs>
        <w:rPr>
          <w:sz w:val="28"/>
        </w:rPr>
      </w:pPr>
      <w:r>
        <w:rPr>
          <w:b/>
          <w:sz w:val="28"/>
        </w:rPr>
        <w:t xml:space="preserve">постановил</w:t>
      </w:r>
      <w:r>
        <w:rPr>
          <w:b/>
          <w:sz w:val="28"/>
        </w:rPr>
        <w:t xml:space="preserve">а</w:t>
      </w:r>
      <w:r>
        <w:rPr>
          <w:sz w:val="28"/>
        </w:rPr>
        <w:t xml:space="preserve">:</w:t>
      </w:r>
      <w:r/>
    </w:p>
    <w:p>
      <w:pPr>
        <w:pStyle w:val="604"/>
      </w:pPr>
      <w:r/>
      <w:r/>
    </w:p>
    <w:p>
      <w:pPr>
        <w:pStyle w:val="604"/>
        <w:rPr>
          <w:sz w:val="28"/>
          <w:szCs w:val="28"/>
        </w:rPr>
      </w:pPr>
      <w:r>
        <w:t xml:space="preserve">1. Восстановить полномочия </w:t>
      </w:r>
      <w:r>
        <w:rPr>
          <w:bCs/>
        </w:rPr>
        <w:t xml:space="preserve">члена</w:t>
      </w:r>
      <w:r>
        <w:rPr>
          <w:bCs/>
        </w:rPr>
        <w:t xml:space="preserve"> Велижской территориальной</w:t>
      </w:r>
      <w:r>
        <w:rPr>
          <w:bCs/>
        </w:rPr>
        <w:t xml:space="preserve"> </w:t>
      </w:r>
      <w:r>
        <w:rPr>
          <w:bCs/>
        </w:rPr>
        <w:t xml:space="preserve">избирательной комиссии</w:t>
      </w:r>
      <w:r>
        <w:rPr>
          <w:bCs/>
        </w:rPr>
        <w:t xml:space="preserve"> </w:t>
      </w:r>
      <w:r>
        <w:rPr>
          <w:bCs/>
        </w:rPr>
        <w:t xml:space="preserve">Смоленской области</w:t>
      </w:r>
      <w:r>
        <w:rPr>
          <w:bCs/>
        </w:rPr>
        <w:t xml:space="preserve"> </w:t>
      </w:r>
      <w:r>
        <w:rPr>
          <w:bCs/>
        </w:rPr>
        <w:t xml:space="preserve">с правом решающего голоса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  <w:t xml:space="preserve">Воробьевой Инны Анатольевны</w:t>
      </w:r>
      <w:r/>
      <w:r>
        <w:rPr>
          <w:bCs/>
        </w:rPr>
      </w:r>
      <w:r>
        <w:rPr>
          <w:bCs/>
        </w:rPr>
        <w:t xml:space="preserve"> </w:t>
      </w:r>
      <w:r>
        <w:t xml:space="preserve">с </w:t>
      </w:r>
      <w:r>
        <w:t xml:space="preserve">02</w:t>
      </w:r>
      <w:r>
        <w:t xml:space="preserve"> </w:t>
      </w:r>
      <w:r>
        <w:t xml:space="preserve">сентября</w:t>
      </w:r>
      <w:r>
        <w:t xml:space="preserve"> 2024 года в связи с</w:t>
      </w:r>
      <w:r>
        <w:rPr>
          <w:sz w:val="28"/>
          <w:szCs w:val="28"/>
        </w:rPr>
        <w:t xml:space="preserve"> прекращением обстоятельств, явившихся </w:t>
      </w:r>
      <w:r>
        <w:rPr>
          <w:sz w:val="28"/>
          <w:szCs w:val="28"/>
        </w:rPr>
        <w:t xml:space="preserve">основанием для приостановления </w:t>
      </w:r>
      <w:r>
        <w:rPr>
          <w:sz w:val="28"/>
          <w:szCs w:val="28"/>
        </w:rPr>
        <w:t xml:space="preserve">полномочий.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2. 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избирательную комиссию Смоленской области</w:t>
      </w:r>
      <w:r>
        <w:rPr>
          <w:sz w:val="28"/>
          <w:szCs w:val="28"/>
        </w:rPr>
        <w:t xml:space="preserve">.</w:t>
      </w:r>
      <w:r/>
    </w:p>
    <w:p>
      <w:pPr>
        <w:pStyle w:val="606"/>
        <w:spacing w:lineRule="auto" w:line="240"/>
      </w:pPr>
      <w:r/>
      <w:r/>
    </w:p>
    <w:p>
      <w:pPr>
        <w:pStyle w:val="606"/>
        <w:spacing w:lineRule="auto" w:line="240"/>
      </w:pPr>
      <w:r/>
      <w:r/>
    </w:p>
    <w:tbl>
      <w:tblPr>
        <w:tblpPr w:horzAnchor="margin" w:tblpXSpec="center" w:vertAnchor="text" w:tblpY="17" w:leftFromText="180" w:topFromText="0" w:rightFromText="180" w:bottomFromText="0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>
        <w:trPr>
          <w:trHeight w:val="284"/>
        </w:trPr>
        <w:tc>
          <w:tcPr>
            <w:tcW w:w="3510" w:type="dxa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Председатель комиссии</w:t>
            </w:r>
            <w:r/>
          </w:p>
        </w:tc>
        <w:tc>
          <w:tcPr>
            <w:tcW w:w="3033" w:type="dxa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  <w:szCs w:val="28"/>
                <w:lang w:eastAsia="en-US"/>
              </w:rPr>
            </w:pPr>
            <w:r/>
            <w:bookmarkStart w:id="0" w:name="_GoBack"/>
            <w:r/>
            <w:bookmarkEnd w:id="0"/>
            <w:r/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jc w:val="right"/>
              <w:widowControl w:val="o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Л.С. Васильева</w:t>
            </w:r>
            <w:r/>
          </w:p>
        </w:tc>
      </w:tr>
      <w:tr>
        <w:trPr>
          <w:trHeight w:val="280"/>
        </w:trPr>
        <w:tc>
          <w:tcPr>
            <w:tcW w:w="3510" w:type="dxa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W w:w="3033" w:type="dxa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290"/>
        </w:trPr>
        <w:tc>
          <w:tcPr>
            <w:tcW w:w="3510" w:type="dxa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Секретарь комиссии</w:t>
            </w:r>
            <w:r/>
          </w:p>
        </w:tc>
        <w:tc>
          <w:tcPr>
            <w:tcW w:w="3033" w:type="dxa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jc w:val="right"/>
              <w:widowControl w:val="o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О.А. Новикова</w:t>
            </w:r>
            <w:r/>
          </w:p>
        </w:tc>
      </w:tr>
    </w:tbl>
    <w:p>
      <w:pPr>
        <w:pStyle w:val="606"/>
        <w:ind w:firstLine="0"/>
        <w:spacing w:lineRule="auto" w:line="240"/>
      </w:pPr>
      <w:r/>
      <w:r/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0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0"/>
    <w:link w:val="599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0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0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0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0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0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0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599">
    <w:name w:val="Heading 2"/>
    <w:basedOn w:val="598"/>
    <w:next w:val="598"/>
    <w:link w:val="603"/>
    <w:qFormat/>
    <w:rPr>
      <w:sz w:val="28"/>
      <w:szCs w:val="28"/>
    </w:rPr>
    <w:pPr>
      <w:ind w:left="567" w:hanging="567"/>
      <w:keepNext/>
      <w:outlineLvl w:val="1"/>
    </w:p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Заголовок 2 Знак"/>
    <w:basedOn w:val="600"/>
    <w:link w:val="5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604">
    <w:name w:val="Body Text Indent"/>
    <w:basedOn w:val="598"/>
    <w:link w:val="605"/>
    <w:semiHidden/>
    <w:rPr>
      <w:sz w:val="28"/>
      <w:szCs w:val="20"/>
    </w:rPr>
    <w:pPr>
      <w:ind w:firstLine="567"/>
      <w:jc w:val="both"/>
      <w:widowControl w:val="off"/>
    </w:pPr>
  </w:style>
  <w:style w:type="character" w:styleId="605" w:customStyle="1">
    <w:name w:val="Основной текст с отступом Знак"/>
    <w:basedOn w:val="600"/>
    <w:link w:val="604"/>
    <w:semiHidden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606">
    <w:name w:val="Body Text Indent 3"/>
    <w:basedOn w:val="598"/>
    <w:link w:val="607"/>
    <w:semiHidden/>
    <w:rPr>
      <w:sz w:val="28"/>
    </w:rPr>
    <w:pPr>
      <w:ind w:firstLine="720"/>
      <w:jc w:val="both"/>
      <w:spacing w:lineRule="auto" w:line="360"/>
    </w:pPr>
  </w:style>
  <w:style w:type="character" w:styleId="607" w:customStyle="1">
    <w:name w:val="Основной текст с отступом 3 Знак"/>
    <w:basedOn w:val="600"/>
    <w:link w:val="606"/>
    <w:semiHidden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08" w:customStyle="1">
    <w:name w:val="ConsPlusNormal"/>
    <w:rPr>
      <w:rFonts w:ascii="Arial" w:hAnsi="Arial" w:cs="Arial" w:eastAsia="Times New Roman"/>
      <w:sz w:val="20"/>
      <w:szCs w:val="20"/>
      <w:lang w:eastAsia="ru-RU"/>
    </w:rPr>
    <w:pPr>
      <w:ind w:firstLine="720"/>
      <w:spacing w:lineRule="auto" w:line="240" w:after="0"/>
      <w:widowControl w:val="off"/>
    </w:pPr>
  </w:style>
  <w:style w:type="paragraph" w:styleId="609" w:customStyle="1">
    <w:name w:val="Стиль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610">
    <w:name w:val="Balloon Text"/>
    <w:basedOn w:val="598"/>
    <w:link w:val="61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11" w:customStyle="1">
    <w:name w:val="Текст выноски Знак"/>
    <w:basedOn w:val="600"/>
    <w:link w:val="610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СербинАВ</dc:creator>
  <cp:revision>7</cp:revision>
  <dcterms:created xsi:type="dcterms:W3CDTF">2024-08-21T09:29:00Z</dcterms:created>
  <dcterms:modified xsi:type="dcterms:W3CDTF">2024-09-03T13:29:29Z</dcterms:modified>
</cp:coreProperties>
</file>